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17428" w14:textId="3C92DF23" w:rsidR="00F03D74" w:rsidRPr="00873C45" w:rsidRDefault="00F03D74" w:rsidP="00F03D74">
      <w:pPr>
        <w:spacing w:line="360" w:lineRule="auto"/>
        <w:rPr>
          <w:rFonts w:ascii="Arial" w:eastAsia="Arial" w:hAnsi="Arial" w:cs="Arial"/>
          <w:b/>
          <w:sz w:val="20"/>
          <w:szCs w:val="20"/>
        </w:rPr>
      </w:pPr>
      <w:r w:rsidRPr="00873C45">
        <w:rPr>
          <w:rFonts w:ascii="Arial" w:eastAsia="Arial" w:hAnsi="Arial" w:cs="Arial"/>
          <w:b/>
          <w:sz w:val="20"/>
          <w:szCs w:val="20"/>
        </w:rPr>
        <w:t xml:space="preserve">Bilag 2: </w:t>
      </w:r>
      <w:r w:rsidR="00873C45">
        <w:rPr>
          <w:rFonts w:ascii="Arial" w:eastAsia="Arial" w:hAnsi="Arial" w:cs="Arial"/>
          <w:b/>
          <w:sz w:val="20"/>
          <w:szCs w:val="20"/>
        </w:rPr>
        <w:t>R</w:t>
      </w:r>
      <w:r w:rsidRPr="00873C45">
        <w:rPr>
          <w:rFonts w:ascii="Arial" w:eastAsia="Arial" w:hAnsi="Arial" w:cs="Arial"/>
          <w:b/>
          <w:sz w:val="20"/>
          <w:szCs w:val="20"/>
        </w:rPr>
        <w:t>egnskab efter 1. kvartal samt budget og prognose for hele året</w:t>
      </w:r>
    </w:p>
    <w:p w14:paraId="7E9C529F" w14:textId="5457588A" w:rsidR="00F03D74" w:rsidRPr="00873C45" w:rsidRDefault="00F03D74" w:rsidP="00613DE5">
      <w:pPr>
        <w:spacing w:line="360" w:lineRule="auto"/>
        <w:jc w:val="both"/>
        <w:rPr>
          <w:rFonts w:ascii="Arial" w:eastAsia="Arial" w:hAnsi="Arial" w:cs="Arial"/>
          <w:b/>
          <w:bCs/>
          <w:sz w:val="20"/>
          <w:szCs w:val="20"/>
        </w:rPr>
      </w:pPr>
      <w:r w:rsidRPr="00873C45">
        <w:rPr>
          <w:rFonts w:ascii="Arial" w:eastAsia="Arial" w:hAnsi="Arial" w:cs="Arial"/>
          <w:b/>
          <w:bCs/>
          <w:sz w:val="20"/>
          <w:szCs w:val="20"/>
        </w:rPr>
        <w:t>Indledning</w:t>
      </w:r>
      <w:r w:rsidR="00873C45">
        <w:rPr>
          <w:rFonts w:ascii="Arial" w:eastAsia="Arial" w:hAnsi="Arial" w:cs="Arial"/>
          <w:b/>
          <w:bCs/>
          <w:sz w:val="20"/>
          <w:szCs w:val="20"/>
        </w:rPr>
        <w:br/>
      </w:r>
      <w:r w:rsidRPr="00873C45">
        <w:rPr>
          <w:rFonts w:ascii="Arial" w:eastAsia="Arial" w:hAnsi="Arial" w:cs="Arial"/>
          <w:sz w:val="20"/>
          <w:szCs w:val="20"/>
        </w:rPr>
        <w:t>Driftsresultatet efter 1. kvartal viser et overskud på 44,6 mio. kr., hvilket er 6,9 mio. kr. lavere end det budgetterede overskud på 51,5 mio. kr. og skyldes primært lavere Tilskudsfinansierede aktiviteter og lavere Øvrige indtægter og modsatrettede lavere løn- og driftsomkostninger Ordinær drift.</w:t>
      </w:r>
    </w:p>
    <w:p w14:paraId="4E1AA921" w14:textId="7D33204B" w:rsidR="00F03D74" w:rsidRPr="00873C45" w:rsidRDefault="00F03D74" w:rsidP="00613DE5">
      <w:pPr>
        <w:spacing w:line="360" w:lineRule="auto"/>
        <w:jc w:val="both"/>
        <w:rPr>
          <w:rFonts w:ascii="Arial" w:eastAsia="Arial" w:hAnsi="Arial" w:cs="Arial"/>
          <w:sz w:val="20"/>
          <w:szCs w:val="20"/>
          <w:highlight w:val="yellow"/>
        </w:rPr>
      </w:pPr>
      <w:r w:rsidRPr="00873C45">
        <w:rPr>
          <w:rFonts w:ascii="Arial" w:eastAsia="Arial" w:hAnsi="Arial" w:cs="Arial"/>
          <w:sz w:val="20"/>
          <w:szCs w:val="20"/>
        </w:rPr>
        <w:t>For hele året forventes driftsresultatet at udvise et positivt resultat på 1,8 mio. kr., hvilket er 2,2 mio. kr. lavere end det budgetterede overskud på 4,0 mio. kr. og skyldes primært lavere driftsomkostninger fra Tilskudsfinansiere aktiviteter samt modsatrettet lavere indtægter fra Tilskudsfinansierede aktiviteter og højere lønomkostninger fra Ordinærdrift samt fra Tilskudsfinansierede aktiviteter</w:t>
      </w:r>
      <w:r w:rsidR="00613DE5">
        <w:rPr>
          <w:rFonts w:ascii="Arial" w:eastAsia="Arial" w:hAnsi="Arial" w:cs="Arial"/>
          <w:sz w:val="20"/>
          <w:szCs w:val="20"/>
        </w:rPr>
        <w:t>.</w:t>
      </w:r>
    </w:p>
    <w:p w14:paraId="6FD72B21" w14:textId="77777777" w:rsidR="00F03D74" w:rsidRPr="00873C45" w:rsidRDefault="00F03D74" w:rsidP="00F03D74">
      <w:pPr>
        <w:spacing w:line="360" w:lineRule="auto"/>
        <w:rPr>
          <w:rFonts w:ascii="Arial" w:eastAsia="Arial" w:hAnsi="Arial" w:cs="Arial"/>
          <w:b/>
          <w:bCs/>
          <w:color w:val="FF0000"/>
          <w:sz w:val="20"/>
          <w:szCs w:val="20"/>
        </w:rPr>
      </w:pPr>
      <w:r w:rsidRPr="00873C45">
        <w:rPr>
          <w:rFonts w:ascii="Arial" w:eastAsia="Arial" w:hAnsi="Arial" w:cs="Arial"/>
          <w:b/>
          <w:sz w:val="20"/>
          <w:szCs w:val="20"/>
        </w:rPr>
        <w:t>Regnskab og budget</w:t>
      </w:r>
      <w:r w:rsidRPr="00873C45">
        <w:rPr>
          <w:rFonts w:ascii="Arial" w:eastAsia="Arial" w:hAnsi="Arial" w:cs="Arial"/>
          <w:b/>
          <w:bCs/>
          <w:sz w:val="20"/>
          <w:szCs w:val="20"/>
        </w:rPr>
        <w:t xml:space="preserve"> efter 1. kvartal, prognose og budget 2025</w:t>
      </w:r>
    </w:p>
    <w:tbl>
      <w:tblPr>
        <w:tblStyle w:val="PlainTable1"/>
        <w:tblW w:w="8210" w:type="dxa"/>
        <w:tblLook w:val="04A0" w:firstRow="1" w:lastRow="0" w:firstColumn="1" w:lastColumn="0" w:noHBand="0" w:noVBand="1"/>
      </w:tblPr>
      <w:tblGrid>
        <w:gridCol w:w="1290"/>
        <w:gridCol w:w="921"/>
        <w:gridCol w:w="730"/>
        <w:gridCol w:w="921"/>
        <w:gridCol w:w="921"/>
        <w:gridCol w:w="921"/>
        <w:gridCol w:w="730"/>
        <w:gridCol w:w="888"/>
        <w:gridCol w:w="888"/>
      </w:tblGrid>
      <w:tr w:rsidR="00F03D74" w:rsidRPr="00CD5902" w14:paraId="19E73D20" w14:textId="77777777" w:rsidTr="00071BFB">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1290" w:type="dxa"/>
            <w:noWrap/>
            <w:hideMark/>
          </w:tcPr>
          <w:p w14:paraId="2C9E9085" w14:textId="77777777" w:rsidR="00F03D74" w:rsidRPr="00873C45" w:rsidRDefault="00F03D74" w:rsidP="00071BFB">
            <w:pPr>
              <w:rPr>
                <w:rFonts w:ascii="Arial" w:hAnsi="Arial" w:cs="Arial"/>
                <w:color w:val="000000" w:themeColor="text1"/>
                <w:sz w:val="14"/>
                <w:szCs w:val="14"/>
              </w:rPr>
            </w:pPr>
            <w:r w:rsidRPr="00873C45">
              <w:rPr>
                <w:rFonts w:ascii="Arial" w:hAnsi="Arial" w:cs="Arial"/>
                <w:color w:val="000000" w:themeColor="text1"/>
                <w:sz w:val="14"/>
                <w:szCs w:val="14"/>
              </w:rPr>
              <w:t>Mio.kr</w:t>
            </w:r>
          </w:p>
        </w:tc>
        <w:tc>
          <w:tcPr>
            <w:tcW w:w="921" w:type="dxa"/>
            <w:hideMark/>
          </w:tcPr>
          <w:p w14:paraId="5A1AF7C9" w14:textId="77777777" w:rsidR="00F03D74" w:rsidRPr="00873C45" w:rsidRDefault="00F03D74" w:rsidP="00071BF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 xml:space="preserve">Regnskab </w:t>
            </w:r>
            <w:r w:rsidRPr="00873C45">
              <w:rPr>
                <w:rFonts w:ascii="Arial" w:hAnsi="Arial" w:cs="Arial"/>
                <w:sz w:val="14"/>
                <w:szCs w:val="14"/>
              </w:rPr>
              <w:br/>
            </w:r>
            <w:r w:rsidRPr="00873C45">
              <w:rPr>
                <w:rFonts w:ascii="Arial" w:hAnsi="Arial" w:cs="Arial"/>
                <w:color w:val="000000" w:themeColor="text1"/>
                <w:sz w:val="14"/>
                <w:szCs w:val="14"/>
              </w:rPr>
              <w:t xml:space="preserve"> ÅTD</w:t>
            </w:r>
            <w:r w:rsidRPr="00873C45">
              <w:rPr>
                <w:rFonts w:ascii="Arial" w:hAnsi="Arial" w:cs="Arial"/>
                <w:sz w:val="14"/>
                <w:szCs w:val="14"/>
              </w:rPr>
              <w:br/>
            </w:r>
            <w:r w:rsidRPr="00873C45">
              <w:rPr>
                <w:rFonts w:ascii="Arial" w:hAnsi="Arial" w:cs="Arial"/>
                <w:color w:val="000000" w:themeColor="text1"/>
                <w:sz w:val="14"/>
                <w:szCs w:val="14"/>
              </w:rPr>
              <w:t>2024</w:t>
            </w:r>
          </w:p>
        </w:tc>
        <w:tc>
          <w:tcPr>
            <w:tcW w:w="730" w:type="dxa"/>
            <w:hideMark/>
          </w:tcPr>
          <w:p w14:paraId="57A0C012" w14:textId="77777777" w:rsidR="00F03D74" w:rsidRPr="00873C45" w:rsidRDefault="00F03D74" w:rsidP="00071BF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4"/>
                <w:szCs w:val="14"/>
                <w:highlight w:val="yellow"/>
              </w:rPr>
            </w:pPr>
            <w:r w:rsidRPr="00873C45">
              <w:rPr>
                <w:rFonts w:ascii="Arial" w:hAnsi="Arial" w:cs="Arial"/>
                <w:color w:val="000000" w:themeColor="text1"/>
                <w:sz w:val="14"/>
                <w:szCs w:val="14"/>
              </w:rPr>
              <w:t xml:space="preserve">Budget </w:t>
            </w:r>
            <w:r w:rsidRPr="00873C45">
              <w:rPr>
                <w:rFonts w:ascii="Arial" w:hAnsi="Arial" w:cs="Arial"/>
                <w:sz w:val="14"/>
                <w:szCs w:val="14"/>
              </w:rPr>
              <w:br/>
            </w:r>
            <w:r w:rsidRPr="00873C45">
              <w:rPr>
                <w:rFonts w:ascii="Arial" w:hAnsi="Arial" w:cs="Arial"/>
                <w:color w:val="000000" w:themeColor="text1"/>
                <w:sz w:val="14"/>
                <w:szCs w:val="14"/>
              </w:rPr>
              <w:t xml:space="preserve"> ÅTD</w:t>
            </w:r>
            <w:r w:rsidRPr="00873C45">
              <w:rPr>
                <w:rFonts w:ascii="Arial" w:hAnsi="Arial" w:cs="Arial"/>
                <w:sz w:val="14"/>
                <w:szCs w:val="14"/>
              </w:rPr>
              <w:br/>
            </w:r>
            <w:r w:rsidRPr="00873C45">
              <w:rPr>
                <w:rFonts w:ascii="Arial" w:hAnsi="Arial" w:cs="Arial"/>
                <w:color w:val="000000" w:themeColor="text1"/>
                <w:sz w:val="14"/>
                <w:szCs w:val="14"/>
              </w:rPr>
              <w:t>2025</w:t>
            </w:r>
          </w:p>
        </w:tc>
        <w:tc>
          <w:tcPr>
            <w:tcW w:w="921" w:type="dxa"/>
            <w:hideMark/>
          </w:tcPr>
          <w:p w14:paraId="4CF55B83" w14:textId="77777777" w:rsidR="00F03D74" w:rsidRPr="00873C45" w:rsidRDefault="00F03D74" w:rsidP="00071BF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 xml:space="preserve">Regnskab </w:t>
            </w:r>
            <w:r w:rsidRPr="00873C45">
              <w:rPr>
                <w:rFonts w:ascii="Arial" w:hAnsi="Arial" w:cs="Arial"/>
                <w:sz w:val="14"/>
                <w:szCs w:val="14"/>
              </w:rPr>
              <w:br/>
            </w:r>
            <w:r w:rsidRPr="00873C45">
              <w:rPr>
                <w:rFonts w:ascii="Arial" w:hAnsi="Arial" w:cs="Arial"/>
                <w:color w:val="000000" w:themeColor="text1"/>
                <w:sz w:val="14"/>
                <w:szCs w:val="14"/>
              </w:rPr>
              <w:t xml:space="preserve"> ÅTD</w:t>
            </w:r>
            <w:r w:rsidRPr="00873C45">
              <w:rPr>
                <w:rFonts w:ascii="Arial" w:hAnsi="Arial" w:cs="Arial"/>
                <w:sz w:val="14"/>
                <w:szCs w:val="14"/>
              </w:rPr>
              <w:br/>
            </w:r>
            <w:r w:rsidRPr="00873C45">
              <w:rPr>
                <w:rFonts w:ascii="Arial" w:hAnsi="Arial" w:cs="Arial"/>
                <w:color w:val="000000" w:themeColor="text1"/>
                <w:sz w:val="14"/>
                <w:szCs w:val="14"/>
              </w:rPr>
              <w:t>2025</w:t>
            </w:r>
          </w:p>
        </w:tc>
        <w:tc>
          <w:tcPr>
            <w:tcW w:w="921" w:type="dxa"/>
            <w:hideMark/>
          </w:tcPr>
          <w:p w14:paraId="7BC49CC8" w14:textId="77777777" w:rsidR="00F03D74" w:rsidRPr="00873C45" w:rsidRDefault="00F03D74" w:rsidP="00071BF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 xml:space="preserve">Afvigelse </w:t>
            </w:r>
            <w:r w:rsidRPr="00873C45">
              <w:rPr>
                <w:rFonts w:ascii="Arial" w:hAnsi="Arial" w:cs="Arial"/>
                <w:sz w:val="14"/>
                <w:szCs w:val="14"/>
              </w:rPr>
              <w:br/>
            </w:r>
            <w:r w:rsidRPr="00873C45">
              <w:rPr>
                <w:rFonts w:ascii="Arial" w:hAnsi="Arial" w:cs="Arial"/>
                <w:color w:val="000000" w:themeColor="text1"/>
                <w:sz w:val="14"/>
                <w:szCs w:val="14"/>
              </w:rPr>
              <w:t>Regnskab - Budget</w:t>
            </w:r>
            <w:r w:rsidRPr="00873C45">
              <w:rPr>
                <w:rFonts w:ascii="Arial" w:hAnsi="Arial" w:cs="Arial"/>
                <w:sz w:val="14"/>
                <w:szCs w:val="14"/>
              </w:rPr>
              <w:br/>
            </w:r>
            <w:r w:rsidRPr="00873C45">
              <w:rPr>
                <w:rFonts w:ascii="Arial" w:hAnsi="Arial" w:cs="Arial"/>
                <w:color w:val="000000" w:themeColor="text1"/>
                <w:sz w:val="14"/>
                <w:szCs w:val="14"/>
              </w:rPr>
              <w:t>2025</w:t>
            </w:r>
          </w:p>
        </w:tc>
        <w:tc>
          <w:tcPr>
            <w:tcW w:w="921" w:type="dxa"/>
            <w:hideMark/>
          </w:tcPr>
          <w:p w14:paraId="40BFAFF3" w14:textId="77777777" w:rsidR="00F03D74" w:rsidRPr="00873C45" w:rsidRDefault="00F03D74" w:rsidP="00071BF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 xml:space="preserve">Regnskab </w:t>
            </w:r>
            <w:r w:rsidRPr="00873C45">
              <w:rPr>
                <w:rFonts w:ascii="Arial" w:hAnsi="Arial" w:cs="Arial"/>
                <w:sz w:val="14"/>
                <w:szCs w:val="14"/>
              </w:rPr>
              <w:br/>
            </w:r>
            <w:r w:rsidRPr="00873C45">
              <w:rPr>
                <w:rFonts w:ascii="Arial" w:hAnsi="Arial" w:cs="Arial"/>
                <w:color w:val="000000" w:themeColor="text1"/>
                <w:sz w:val="14"/>
                <w:szCs w:val="14"/>
              </w:rPr>
              <w:t>Hele året</w:t>
            </w:r>
            <w:r w:rsidRPr="00873C45">
              <w:rPr>
                <w:rFonts w:ascii="Arial" w:hAnsi="Arial" w:cs="Arial"/>
                <w:sz w:val="14"/>
                <w:szCs w:val="14"/>
              </w:rPr>
              <w:br/>
            </w:r>
            <w:r w:rsidRPr="00873C45">
              <w:rPr>
                <w:rFonts w:ascii="Arial" w:hAnsi="Arial" w:cs="Arial"/>
                <w:color w:val="000000" w:themeColor="text1"/>
                <w:sz w:val="14"/>
                <w:szCs w:val="14"/>
              </w:rPr>
              <w:t>2024</w:t>
            </w:r>
          </w:p>
        </w:tc>
        <w:tc>
          <w:tcPr>
            <w:tcW w:w="730" w:type="dxa"/>
            <w:hideMark/>
          </w:tcPr>
          <w:p w14:paraId="14CDCA88" w14:textId="77777777" w:rsidR="00F03D74" w:rsidRPr="00873C45" w:rsidRDefault="00F03D74" w:rsidP="00071BF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 xml:space="preserve">Budget </w:t>
            </w:r>
            <w:r w:rsidRPr="00873C45">
              <w:rPr>
                <w:rFonts w:ascii="Arial" w:hAnsi="Arial" w:cs="Arial"/>
                <w:sz w:val="14"/>
                <w:szCs w:val="14"/>
              </w:rPr>
              <w:br/>
            </w:r>
            <w:r w:rsidRPr="00873C45">
              <w:rPr>
                <w:rFonts w:ascii="Arial" w:hAnsi="Arial" w:cs="Arial"/>
                <w:color w:val="000000" w:themeColor="text1"/>
                <w:sz w:val="14"/>
                <w:szCs w:val="14"/>
              </w:rPr>
              <w:t>Hele året</w:t>
            </w:r>
            <w:r w:rsidRPr="00873C45">
              <w:rPr>
                <w:rFonts w:ascii="Arial" w:hAnsi="Arial" w:cs="Arial"/>
                <w:sz w:val="14"/>
                <w:szCs w:val="14"/>
              </w:rPr>
              <w:br/>
            </w:r>
            <w:r w:rsidRPr="00873C45">
              <w:rPr>
                <w:rFonts w:ascii="Arial" w:hAnsi="Arial" w:cs="Arial"/>
                <w:color w:val="000000" w:themeColor="text1"/>
                <w:sz w:val="14"/>
                <w:szCs w:val="14"/>
              </w:rPr>
              <w:t>2025</w:t>
            </w:r>
          </w:p>
        </w:tc>
        <w:tc>
          <w:tcPr>
            <w:tcW w:w="888" w:type="dxa"/>
            <w:hideMark/>
          </w:tcPr>
          <w:p w14:paraId="35DF814C" w14:textId="77777777" w:rsidR="00F03D74" w:rsidRPr="00873C45" w:rsidRDefault="00F03D74" w:rsidP="00071BF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 xml:space="preserve">Prognose Q1 </w:t>
            </w:r>
            <w:r w:rsidRPr="00873C45">
              <w:rPr>
                <w:rFonts w:ascii="Arial" w:hAnsi="Arial" w:cs="Arial"/>
                <w:sz w:val="14"/>
                <w:szCs w:val="14"/>
              </w:rPr>
              <w:br/>
            </w:r>
            <w:r w:rsidRPr="00873C45">
              <w:rPr>
                <w:rFonts w:ascii="Arial" w:hAnsi="Arial" w:cs="Arial"/>
                <w:color w:val="000000" w:themeColor="text1"/>
                <w:sz w:val="14"/>
                <w:szCs w:val="14"/>
              </w:rPr>
              <w:t>Hele året</w:t>
            </w:r>
            <w:r w:rsidRPr="00873C45">
              <w:rPr>
                <w:rFonts w:ascii="Arial" w:hAnsi="Arial" w:cs="Arial"/>
                <w:sz w:val="14"/>
                <w:szCs w:val="14"/>
              </w:rPr>
              <w:br/>
            </w:r>
            <w:r w:rsidRPr="00873C45">
              <w:rPr>
                <w:rFonts w:ascii="Arial" w:hAnsi="Arial" w:cs="Arial"/>
                <w:color w:val="000000" w:themeColor="text1"/>
                <w:sz w:val="14"/>
                <w:szCs w:val="14"/>
              </w:rPr>
              <w:t>2025</w:t>
            </w:r>
          </w:p>
        </w:tc>
        <w:tc>
          <w:tcPr>
            <w:tcW w:w="888" w:type="dxa"/>
            <w:hideMark/>
          </w:tcPr>
          <w:p w14:paraId="5A701BCC" w14:textId="77777777" w:rsidR="00F03D74" w:rsidRPr="00873C45" w:rsidRDefault="00F03D74" w:rsidP="00071BF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 xml:space="preserve">Afvigelse </w:t>
            </w:r>
            <w:r w:rsidRPr="00873C45">
              <w:rPr>
                <w:rFonts w:ascii="Arial" w:hAnsi="Arial" w:cs="Arial"/>
                <w:sz w:val="14"/>
                <w:szCs w:val="14"/>
              </w:rPr>
              <w:br/>
            </w:r>
            <w:r w:rsidRPr="00873C45">
              <w:rPr>
                <w:rFonts w:ascii="Arial" w:hAnsi="Arial" w:cs="Arial"/>
                <w:color w:val="000000" w:themeColor="text1"/>
                <w:sz w:val="14"/>
                <w:szCs w:val="14"/>
              </w:rPr>
              <w:t>Prognose - Budget</w:t>
            </w:r>
            <w:r w:rsidRPr="00873C45">
              <w:rPr>
                <w:rFonts w:ascii="Arial" w:hAnsi="Arial" w:cs="Arial"/>
                <w:sz w:val="14"/>
                <w:szCs w:val="14"/>
              </w:rPr>
              <w:br/>
            </w:r>
            <w:r w:rsidRPr="00873C45">
              <w:rPr>
                <w:rFonts w:ascii="Arial" w:hAnsi="Arial" w:cs="Arial"/>
                <w:color w:val="000000" w:themeColor="text1"/>
                <w:sz w:val="14"/>
                <w:szCs w:val="14"/>
              </w:rPr>
              <w:t>2025</w:t>
            </w:r>
          </w:p>
        </w:tc>
      </w:tr>
      <w:tr w:rsidR="00F03D74" w:rsidRPr="00CD5902" w14:paraId="1F8836B0" w14:textId="77777777" w:rsidTr="00071BFB">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290" w:type="dxa"/>
            <w:noWrap/>
            <w:hideMark/>
          </w:tcPr>
          <w:p w14:paraId="5720AA33" w14:textId="77777777" w:rsidR="00F03D74" w:rsidRPr="00873C45" w:rsidRDefault="00F03D74" w:rsidP="00071BFB">
            <w:pPr>
              <w:rPr>
                <w:rFonts w:ascii="Arial" w:hAnsi="Arial" w:cs="Arial"/>
                <w:color w:val="000000" w:themeColor="text1"/>
                <w:sz w:val="14"/>
                <w:szCs w:val="14"/>
              </w:rPr>
            </w:pPr>
            <w:r w:rsidRPr="00873C45">
              <w:rPr>
                <w:rFonts w:ascii="Arial" w:hAnsi="Arial" w:cs="Arial"/>
                <w:color w:val="000000" w:themeColor="text1"/>
                <w:sz w:val="14"/>
                <w:szCs w:val="14"/>
              </w:rPr>
              <w:t>Indtægter</w:t>
            </w:r>
          </w:p>
        </w:tc>
        <w:tc>
          <w:tcPr>
            <w:tcW w:w="921" w:type="dxa"/>
            <w:noWrap/>
            <w:hideMark/>
          </w:tcPr>
          <w:p w14:paraId="1B2E3B80"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1.516,0</w:t>
            </w:r>
          </w:p>
        </w:tc>
        <w:tc>
          <w:tcPr>
            <w:tcW w:w="730" w:type="dxa"/>
            <w:noWrap/>
            <w:hideMark/>
          </w:tcPr>
          <w:p w14:paraId="57AD503A"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1.740,3</w:t>
            </w:r>
          </w:p>
        </w:tc>
        <w:tc>
          <w:tcPr>
            <w:tcW w:w="921" w:type="dxa"/>
            <w:noWrap/>
            <w:hideMark/>
          </w:tcPr>
          <w:p w14:paraId="2EEB99C9"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1.659,6</w:t>
            </w:r>
          </w:p>
        </w:tc>
        <w:tc>
          <w:tcPr>
            <w:tcW w:w="921" w:type="dxa"/>
            <w:noWrap/>
            <w:hideMark/>
          </w:tcPr>
          <w:p w14:paraId="1F779042"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-80,7</w:t>
            </w:r>
          </w:p>
        </w:tc>
        <w:tc>
          <w:tcPr>
            <w:tcW w:w="921" w:type="dxa"/>
            <w:noWrap/>
            <w:hideMark/>
          </w:tcPr>
          <w:p w14:paraId="48E5FE74"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6.551,1</w:t>
            </w:r>
          </w:p>
        </w:tc>
        <w:tc>
          <w:tcPr>
            <w:tcW w:w="730" w:type="dxa"/>
            <w:noWrap/>
            <w:hideMark/>
          </w:tcPr>
          <w:p w14:paraId="3A5F971C"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7.048,0</w:t>
            </w:r>
          </w:p>
        </w:tc>
        <w:tc>
          <w:tcPr>
            <w:tcW w:w="888" w:type="dxa"/>
            <w:noWrap/>
            <w:hideMark/>
          </w:tcPr>
          <w:p w14:paraId="0034E764"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7.037,6</w:t>
            </w:r>
          </w:p>
        </w:tc>
        <w:tc>
          <w:tcPr>
            <w:tcW w:w="888" w:type="dxa"/>
            <w:noWrap/>
            <w:hideMark/>
          </w:tcPr>
          <w:p w14:paraId="089D8F1E"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-10,4</w:t>
            </w:r>
          </w:p>
        </w:tc>
      </w:tr>
      <w:tr w:rsidR="00F03D74" w:rsidRPr="00CD5902" w14:paraId="303E4469" w14:textId="77777777" w:rsidTr="00071BFB">
        <w:trPr>
          <w:trHeight w:val="330"/>
        </w:trPr>
        <w:tc>
          <w:tcPr>
            <w:cnfStyle w:val="001000000000" w:firstRow="0" w:lastRow="0" w:firstColumn="1" w:lastColumn="0" w:oddVBand="0" w:evenVBand="0" w:oddHBand="0" w:evenHBand="0" w:firstRowFirstColumn="0" w:firstRowLastColumn="0" w:lastRowFirstColumn="0" w:lastRowLastColumn="0"/>
            <w:tcW w:w="1290" w:type="dxa"/>
            <w:noWrap/>
            <w:hideMark/>
          </w:tcPr>
          <w:p w14:paraId="47A6B60D" w14:textId="77777777" w:rsidR="00F03D74" w:rsidRPr="00873C45" w:rsidRDefault="00F03D74" w:rsidP="00071BFB">
            <w:pPr>
              <w:rPr>
                <w:rFonts w:ascii="Arial" w:hAnsi="Arial" w:cs="Arial"/>
                <w:color w:val="000000" w:themeColor="text1"/>
                <w:sz w:val="14"/>
                <w:szCs w:val="14"/>
              </w:rPr>
            </w:pPr>
            <w:r w:rsidRPr="00873C45">
              <w:rPr>
                <w:rFonts w:ascii="Arial" w:hAnsi="Arial" w:cs="Arial"/>
                <w:color w:val="000000" w:themeColor="text1"/>
                <w:sz w:val="14"/>
                <w:szCs w:val="14"/>
              </w:rPr>
              <w:t>Omkostninger</w:t>
            </w:r>
          </w:p>
        </w:tc>
        <w:tc>
          <w:tcPr>
            <w:tcW w:w="921" w:type="dxa"/>
            <w:noWrap/>
            <w:hideMark/>
          </w:tcPr>
          <w:p w14:paraId="61A2DD2F" w14:textId="77777777" w:rsidR="00F03D74" w:rsidRPr="00873C45" w:rsidRDefault="00F03D74" w:rsidP="00071BF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1.140,0</w:t>
            </w:r>
          </w:p>
        </w:tc>
        <w:tc>
          <w:tcPr>
            <w:tcW w:w="730" w:type="dxa"/>
            <w:noWrap/>
            <w:hideMark/>
          </w:tcPr>
          <w:p w14:paraId="400C4F1B" w14:textId="77777777" w:rsidR="00F03D74" w:rsidRPr="00873C45" w:rsidRDefault="00F03D74" w:rsidP="00071BF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1.345,0</w:t>
            </w:r>
          </w:p>
        </w:tc>
        <w:tc>
          <w:tcPr>
            <w:tcW w:w="921" w:type="dxa"/>
            <w:noWrap/>
            <w:hideMark/>
          </w:tcPr>
          <w:p w14:paraId="3343A264" w14:textId="77777777" w:rsidR="00F03D74" w:rsidRPr="00873C45" w:rsidRDefault="00F03D74" w:rsidP="00071BF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1.266,8</w:t>
            </w:r>
          </w:p>
        </w:tc>
        <w:tc>
          <w:tcPr>
            <w:tcW w:w="921" w:type="dxa"/>
            <w:noWrap/>
            <w:hideMark/>
          </w:tcPr>
          <w:p w14:paraId="44B9992A" w14:textId="77777777" w:rsidR="00F03D74" w:rsidRPr="00873C45" w:rsidRDefault="00F03D74" w:rsidP="00071BF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78,2</w:t>
            </w:r>
          </w:p>
        </w:tc>
        <w:tc>
          <w:tcPr>
            <w:tcW w:w="921" w:type="dxa"/>
            <w:noWrap/>
            <w:hideMark/>
          </w:tcPr>
          <w:p w14:paraId="1F35BB00" w14:textId="77777777" w:rsidR="00F03D74" w:rsidRPr="00873C45" w:rsidRDefault="00F03D74" w:rsidP="00071BF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5.172,7</w:t>
            </w:r>
          </w:p>
        </w:tc>
        <w:tc>
          <w:tcPr>
            <w:tcW w:w="730" w:type="dxa"/>
            <w:noWrap/>
            <w:hideMark/>
          </w:tcPr>
          <w:p w14:paraId="6B53A133" w14:textId="77777777" w:rsidR="00F03D74" w:rsidRPr="00873C45" w:rsidRDefault="00F03D74" w:rsidP="00071BF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5.605,0</w:t>
            </w:r>
          </w:p>
        </w:tc>
        <w:tc>
          <w:tcPr>
            <w:tcW w:w="888" w:type="dxa"/>
            <w:noWrap/>
            <w:hideMark/>
          </w:tcPr>
          <w:p w14:paraId="025C1632" w14:textId="77777777" w:rsidR="00F03D74" w:rsidRPr="00873C45" w:rsidRDefault="00F03D74" w:rsidP="00071BF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5.603,8</w:t>
            </w:r>
          </w:p>
        </w:tc>
        <w:tc>
          <w:tcPr>
            <w:tcW w:w="888" w:type="dxa"/>
            <w:noWrap/>
            <w:hideMark/>
          </w:tcPr>
          <w:p w14:paraId="21CC2899" w14:textId="77777777" w:rsidR="00F03D74" w:rsidRPr="00873C45" w:rsidRDefault="00F03D74" w:rsidP="00071BF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1,2</w:t>
            </w:r>
          </w:p>
        </w:tc>
      </w:tr>
      <w:tr w:rsidR="00F03D74" w:rsidRPr="00CD5902" w14:paraId="0F9DFEDB" w14:textId="77777777" w:rsidTr="00071BFB">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290" w:type="dxa"/>
            <w:noWrap/>
            <w:hideMark/>
          </w:tcPr>
          <w:p w14:paraId="5FD33DEB" w14:textId="77777777" w:rsidR="00F03D74" w:rsidRPr="00873C45" w:rsidRDefault="00F03D74" w:rsidP="00071BFB">
            <w:pPr>
              <w:rPr>
                <w:rFonts w:ascii="Arial" w:hAnsi="Arial" w:cs="Arial"/>
                <w:color w:val="000000" w:themeColor="text1"/>
                <w:sz w:val="14"/>
                <w:szCs w:val="14"/>
              </w:rPr>
            </w:pPr>
            <w:r w:rsidRPr="00873C45">
              <w:rPr>
                <w:rFonts w:ascii="Arial" w:hAnsi="Arial" w:cs="Arial"/>
                <w:color w:val="000000" w:themeColor="text1"/>
                <w:sz w:val="14"/>
                <w:szCs w:val="14"/>
              </w:rPr>
              <w:t>Bygningsdrift</w:t>
            </w:r>
          </w:p>
        </w:tc>
        <w:tc>
          <w:tcPr>
            <w:tcW w:w="921" w:type="dxa"/>
            <w:noWrap/>
            <w:hideMark/>
          </w:tcPr>
          <w:p w14:paraId="45FB4F0A"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154,7</w:t>
            </w:r>
          </w:p>
        </w:tc>
        <w:tc>
          <w:tcPr>
            <w:tcW w:w="730" w:type="dxa"/>
            <w:noWrap/>
            <w:hideMark/>
          </w:tcPr>
          <w:p w14:paraId="55141756"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150,4</w:t>
            </w:r>
          </w:p>
        </w:tc>
        <w:tc>
          <w:tcPr>
            <w:tcW w:w="921" w:type="dxa"/>
            <w:noWrap/>
            <w:hideMark/>
          </w:tcPr>
          <w:p w14:paraId="7ED01CE0"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151,4</w:t>
            </w:r>
          </w:p>
        </w:tc>
        <w:tc>
          <w:tcPr>
            <w:tcW w:w="921" w:type="dxa"/>
            <w:noWrap/>
            <w:hideMark/>
          </w:tcPr>
          <w:p w14:paraId="10F0A707"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-1,0</w:t>
            </w:r>
          </w:p>
        </w:tc>
        <w:tc>
          <w:tcPr>
            <w:tcW w:w="921" w:type="dxa"/>
            <w:noWrap/>
            <w:hideMark/>
          </w:tcPr>
          <w:p w14:paraId="7B446F83"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627,0</w:t>
            </w:r>
          </w:p>
        </w:tc>
        <w:tc>
          <w:tcPr>
            <w:tcW w:w="730" w:type="dxa"/>
            <w:noWrap/>
            <w:hideMark/>
          </w:tcPr>
          <w:p w14:paraId="0B76E8BB"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652,4</w:t>
            </w:r>
          </w:p>
        </w:tc>
        <w:tc>
          <w:tcPr>
            <w:tcW w:w="888" w:type="dxa"/>
            <w:noWrap/>
            <w:hideMark/>
          </w:tcPr>
          <w:p w14:paraId="6BCB1663"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645,6</w:t>
            </w:r>
          </w:p>
        </w:tc>
        <w:tc>
          <w:tcPr>
            <w:tcW w:w="888" w:type="dxa"/>
            <w:noWrap/>
            <w:hideMark/>
          </w:tcPr>
          <w:p w14:paraId="6926C69A"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6,8</w:t>
            </w:r>
          </w:p>
        </w:tc>
      </w:tr>
      <w:tr w:rsidR="00F03D74" w:rsidRPr="00CD5902" w14:paraId="7438F226" w14:textId="77777777" w:rsidTr="00071BFB">
        <w:trPr>
          <w:trHeight w:val="330"/>
        </w:trPr>
        <w:tc>
          <w:tcPr>
            <w:cnfStyle w:val="001000000000" w:firstRow="0" w:lastRow="0" w:firstColumn="1" w:lastColumn="0" w:oddVBand="0" w:evenVBand="0" w:oddHBand="0" w:evenHBand="0" w:firstRowFirstColumn="0" w:firstRowLastColumn="0" w:lastRowFirstColumn="0" w:lastRowLastColumn="0"/>
            <w:tcW w:w="1290" w:type="dxa"/>
            <w:noWrap/>
            <w:hideMark/>
          </w:tcPr>
          <w:p w14:paraId="3B46C32B" w14:textId="77777777" w:rsidR="00F03D74" w:rsidRPr="00873C45" w:rsidRDefault="00F03D74" w:rsidP="00071BFB">
            <w:pPr>
              <w:rPr>
                <w:rFonts w:ascii="Arial" w:hAnsi="Arial" w:cs="Arial"/>
                <w:color w:val="000000" w:themeColor="text1"/>
                <w:sz w:val="14"/>
                <w:szCs w:val="14"/>
              </w:rPr>
            </w:pPr>
            <w:r w:rsidRPr="00873C45">
              <w:rPr>
                <w:rFonts w:ascii="Arial" w:hAnsi="Arial" w:cs="Arial"/>
                <w:color w:val="000000" w:themeColor="text1"/>
                <w:sz w:val="14"/>
                <w:szCs w:val="14"/>
              </w:rPr>
              <w:t>Omkostninger i alt</w:t>
            </w:r>
          </w:p>
        </w:tc>
        <w:tc>
          <w:tcPr>
            <w:tcW w:w="921" w:type="dxa"/>
            <w:noWrap/>
            <w:hideMark/>
          </w:tcPr>
          <w:p w14:paraId="24BA1786" w14:textId="77777777" w:rsidR="00F03D74" w:rsidRPr="00873C45" w:rsidRDefault="00F03D74" w:rsidP="00071BF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1294,6</w:t>
            </w:r>
          </w:p>
        </w:tc>
        <w:tc>
          <w:tcPr>
            <w:tcW w:w="730" w:type="dxa"/>
            <w:noWrap/>
            <w:hideMark/>
          </w:tcPr>
          <w:p w14:paraId="12252D6C" w14:textId="77777777" w:rsidR="00F03D74" w:rsidRPr="00873C45" w:rsidRDefault="00F03D74" w:rsidP="00071BF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1.495,5</w:t>
            </w:r>
          </w:p>
        </w:tc>
        <w:tc>
          <w:tcPr>
            <w:tcW w:w="921" w:type="dxa"/>
            <w:noWrap/>
            <w:hideMark/>
          </w:tcPr>
          <w:p w14:paraId="374C557C" w14:textId="77777777" w:rsidR="00F03D74" w:rsidRPr="00873C45" w:rsidRDefault="00F03D74" w:rsidP="00071BF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1.418,3</w:t>
            </w:r>
          </w:p>
        </w:tc>
        <w:tc>
          <w:tcPr>
            <w:tcW w:w="921" w:type="dxa"/>
            <w:noWrap/>
            <w:hideMark/>
          </w:tcPr>
          <w:p w14:paraId="06785A4E" w14:textId="77777777" w:rsidR="00F03D74" w:rsidRPr="00873C45" w:rsidRDefault="00F03D74" w:rsidP="00071BF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77,2</w:t>
            </w:r>
          </w:p>
        </w:tc>
        <w:tc>
          <w:tcPr>
            <w:tcW w:w="921" w:type="dxa"/>
            <w:noWrap/>
            <w:hideMark/>
          </w:tcPr>
          <w:p w14:paraId="522D1729" w14:textId="77777777" w:rsidR="00F03D74" w:rsidRPr="00873C45" w:rsidRDefault="00F03D74" w:rsidP="00071BF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5.799,8</w:t>
            </w:r>
          </w:p>
        </w:tc>
        <w:tc>
          <w:tcPr>
            <w:tcW w:w="730" w:type="dxa"/>
            <w:noWrap/>
            <w:hideMark/>
          </w:tcPr>
          <w:p w14:paraId="26DE5BE9" w14:textId="77777777" w:rsidR="00F03D74" w:rsidRPr="00873C45" w:rsidRDefault="00F03D74" w:rsidP="00071BF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6,257,4</w:t>
            </w:r>
          </w:p>
        </w:tc>
        <w:tc>
          <w:tcPr>
            <w:tcW w:w="888" w:type="dxa"/>
            <w:noWrap/>
            <w:hideMark/>
          </w:tcPr>
          <w:p w14:paraId="3B78AF38" w14:textId="77777777" w:rsidR="00F03D74" w:rsidRPr="00873C45" w:rsidRDefault="00F03D74" w:rsidP="00071BF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6.249,4</w:t>
            </w:r>
          </w:p>
        </w:tc>
        <w:tc>
          <w:tcPr>
            <w:tcW w:w="888" w:type="dxa"/>
            <w:noWrap/>
            <w:hideMark/>
          </w:tcPr>
          <w:p w14:paraId="1FE6CC51" w14:textId="77777777" w:rsidR="00F03D74" w:rsidRPr="00873C45" w:rsidRDefault="00F03D74" w:rsidP="00071BF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8,0</w:t>
            </w:r>
          </w:p>
        </w:tc>
      </w:tr>
      <w:tr w:rsidR="00F03D74" w:rsidRPr="00CD5902" w14:paraId="2B0A6476" w14:textId="77777777" w:rsidTr="00071BFB">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290" w:type="dxa"/>
            <w:noWrap/>
            <w:hideMark/>
          </w:tcPr>
          <w:p w14:paraId="47AE9AE2" w14:textId="77777777" w:rsidR="00F03D74" w:rsidRPr="00873C45" w:rsidRDefault="00F03D74" w:rsidP="00071BFB">
            <w:pPr>
              <w:rPr>
                <w:rFonts w:ascii="Arial" w:hAnsi="Arial" w:cs="Arial"/>
                <w:color w:val="000000" w:themeColor="text1"/>
                <w:sz w:val="14"/>
                <w:szCs w:val="14"/>
              </w:rPr>
            </w:pPr>
            <w:r w:rsidRPr="00873C45">
              <w:rPr>
                <w:rFonts w:ascii="Arial" w:hAnsi="Arial" w:cs="Arial"/>
                <w:color w:val="000000" w:themeColor="text1"/>
                <w:sz w:val="14"/>
                <w:szCs w:val="14"/>
              </w:rPr>
              <w:t>Af- og nedskrivninger</w:t>
            </w:r>
          </w:p>
        </w:tc>
        <w:tc>
          <w:tcPr>
            <w:tcW w:w="921" w:type="dxa"/>
            <w:noWrap/>
            <w:hideMark/>
          </w:tcPr>
          <w:p w14:paraId="1078AC57"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158,5</w:t>
            </w:r>
          </w:p>
        </w:tc>
        <w:tc>
          <w:tcPr>
            <w:tcW w:w="730" w:type="dxa"/>
            <w:noWrap/>
            <w:hideMark/>
          </w:tcPr>
          <w:p w14:paraId="00785017"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157,1</w:t>
            </w:r>
          </w:p>
        </w:tc>
        <w:tc>
          <w:tcPr>
            <w:tcW w:w="921" w:type="dxa"/>
            <w:noWrap/>
            <w:hideMark/>
          </w:tcPr>
          <w:p w14:paraId="22A5249A"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160,7</w:t>
            </w:r>
          </w:p>
        </w:tc>
        <w:tc>
          <w:tcPr>
            <w:tcW w:w="921" w:type="dxa"/>
            <w:noWrap/>
            <w:hideMark/>
          </w:tcPr>
          <w:p w14:paraId="3479DBCC"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-3,6</w:t>
            </w:r>
          </w:p>
        </w:tc>
        <w:tc>
          <w:tcPr>
            <w:tcW w:w="921" w:type="dxa"/>
            <w:noWrap/>
            <w:hideMark/>
          </w:tcPr>
          <w:p w14:paraId="41F1FAC3"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644,0</w:t>
            </w:r>
          </w:p>
        </w:tc>
        <w:tc>
          <w:tcPr>
            <w:tcW w:w="730" w:type="dxa"/>
            <w:noWrap/>
            <w:hideMark/>
          </w:tcPr>
          <w:p w14:paraId="7B2DDE45"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631,5</w:t>
            </w:r>
          </w:p>
        </w:tc>
        <w:tc>
          <w:tcPr>
            <w:tcW w:w="888" w:type="dxa"/>
            <w:noWrap/>
            <w:hideMark/>
          </w:tcPr>
          <w:p w14:paraId="29B4F3E8"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640,9</w:t>
            </w:r>
          </w:p>
        </w:tc>
        <w:tc>
          <w:tcPr>
            <w:tcW w:w="888" w:type="dxa"/>
            <w:noWrap/>
            <w:hideMark/>
          </w:tcPr>
          <w:p w14:paraId="1DFDC20E"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-9,4</w:t>
            </w:r>
          </w:p>
        </w:tc>
      </w:tr>
      <w:tr w:rsidR="00F03D74" w:rsidRPr="00CD5902" w14:paraId="21A30F3E" w14:textId="77777777" w:rsidTr="00071BFB">
        <w:trPr>
          <w:trHeight w:val="346"/>
        </w:trPr>
        <w:tc>
          <w:tcPr>
            <w:cnfStyle w:val="001000000000" w:firstRow="0" w:lastRow="0" w:firstColumn="1" w:lastColumn="0" w:oddVBand="0" w:evenVBand="0" w:oddHBand="0" w:evenHBand="0" w:firstRowFirstColumn="0" w:firstRowLastColumn="0" w:lastRowFirstColumn="0" w:lastRowLastColumn="0"/>
            <w:tcW w:w="1290" w:type="dxa"/>
            <w:noWrap/>
            <w:hideMark/>
          </w:tcPr>
          <w:p w14:paraId="48BCC062" w14:textId="77777777" w:rsidR="00F03D74" w:rsidRPr="00873C45" w:rsidRDefault="00F03D74" w:rsidP="00071BFB">
            <w:pPr>
              <w:rPr>
                <w:rFonts w:ascii="Arial" w:hAnsi="Arial" w:cs="Arial"/>
                <w:color w:val="000000" w:themeColor="text1"/>
                <w:sz w:val="14"/>
                <w:szCs w:val="14"/>
              </w:rPr>
            </w:pPr>
            <w:r w:rsidRPr="00873C45">
              <w:rPr>
                <w:rFonts w:ascii="Arial" w:hAnsi="Arial" w:cs="Arial"/>
                <w:color w:val="000000" w:themeColor="text1"/>
                <w:sz w:val="14"/>
                <w:szCs w:val="14"/>
              </w:rPr>
              <w:t>Finansielle poster</w:t>
            </w:r>
          </w:p>
        </w:tc>
        <w:tc>
          <w:tcPr>
            <w:tcW w:w="921" w:type="dxa"/>
            <w:noWrap/>
            <w:hideMark/>
          </w:tcPr>
          <w:p w14:paraId="0C2D4E50" w14:textId="77777777" w:rsidR="00F03D74" w:rsidRPr="00873C45" w:rsidRDefault="00F03D74" w:rsidP="00071BF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-26,8</w:t>
            </w:r>
          </w:p>
        </w:tc>
        <w:tc>
          <w:tcPr>
            <w:tcW w:w="730" w:type="dxa"/>
            <w:noWrap/>
            <w:hideMark/>
          </w:tcPr>
          <w:p w14:paraId="41221D51" w14:textId="77777777" w:rsidR="00F03D74" w:rsidRPr="00873C45" w:rsidRDefault="00F03D74" w:rsidP="00071BF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-36,2</w:t>
            </w:r>
          </w:p>
        </w:tc>
        <w:tc>
          <w:tcPr>
            <w:tcW w:w="921" w:type="dxa"/>
            <w:noWrap/>
            <w:hideMark/>
          </w:tcPr>
          <w:p w14:paraId="54CB867D" w14:textId="77777777" w:rsidR="00F03D74" w:rsidRPr="00873C45" w:rsidRDefault="00F03D74" w:rsidP="00071BF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-36,0</w:t>
            </w:r>
          </w:p>
        </w:tc>
        <w:tc>
          <w:tcPr>
            <w:tcW w:w="921" w:type="dxa"/>
            <w:noWrap/>
            <w:hideMark/>
          </w:tcPr>
          <w:p w14:paraId="1EF34FFD" w14:textId="77777777" w:rsidR="00F03D74" w:rsidRPr="00873C45" w:rsidRDefault="00F03D74" w:rsidP="00071BF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0,2</w:t>
            </w:r>
          </w:p>
        </w:tc>
        <w:tc>
          <w:tcPr>
            <w:tcW w:w="921" w:type="dxa"/>
            <w:noWrap/>
            <w:hideMark/>
          </w:tcPr>
          <w:p w14:paraId="775069EF" w14:textId="77777777" w:rsidR="00F03D74" w:rsidRPr="00873C45" w:rsidRDefault="00F03D74" w:rsidP="00071BF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-106,4</w:t>
            </w:r>
          </w:p>
        </w:tc>
        <w:tc>
          <w:tcPr>
            <w:tcW w:w="730" w:type="dxa"/>
            <w:noWrap/>
            <w:hideMark/>
          </w:tcPr>
          <w:p w14:paraId="62FCEB89" w14:textId="77777777" w:rsidR="00F03D74" w:rsidRPr="00873C45" w:rsidRDefault="00F03D74" w:rsidP="00071BF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-155,0</w:t>
            </w:r>
          </w:p>
        </w:tc>
        <w:tc>
          <w:tcPr>
            <w:tcW w:w="888" w:type="dxa"/>
            <w:noWrap/>
            <w:hideMark/>
          </w:tcPr>
          <w:p w14:paraId="1BE4CE66" w14:textId="77777777" w:rsidR="00F03D74" w:rsidRPr="00873C45" w:rsidRDefault="00F03D74" w:rsidP="00071BF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-145,4</w:t>
            </w:r>
          </w:p>
        </w:tc>
        <w:tc>
          <w:tcPr>
            <w:tcW w:w="888" w:type="dxa"/>
            <w:noWrap/>
            <w:hideMark/>
          </w:tcPr>
          <w:p w14:paraId="33CEDA8C" w14:textId="77777777" w:rsidR="00F03D74" w:rsidRPr="00873C45" w:rsidRDefault="00F03D74" w:rsidP="00071BF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9,6</w:t>
            </w:r>
          </w:p>
        </w:tc>
      </w:tr>
      <w:tr w:rsidR="00F03D74" w:rsidRPr="00CD5902" w14:paraId="4F4EE63B" w14:textId="77777777" w:rsidTr="00071BFB">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290" w:type="dxa"/>
            <w:noWrap/>
            <w:hideMark/>
          </w:tcPr>
          <w:p w14:paraId="078C83F6" w14:textId="77777777" w:rsidR="00F03D74" w:rsidRPr="00873C45" w:rsidRDefault="00F03D74" w:rsidP="00071BFB">
            <w:pPr>
              <w:rPr>
                <w:rFonts w:ascii="Arial" w:hAnsi="Arial" w:cs="Arial"/>
                <w:color w:val="000000" w:themeColor="text1"/>
                <w:sz w:val="14"/>
                <w:szCs w:val="14"/>
              </w:rPr>
            </w:pPr>
            <w:r w:rsidRPr="00873C45">
              <w:rPr>
                <w:rFonts w:ascii="Arial" w:hAnsi="Arial" w:cs="Arial"/>
                <w:b w:val="0"/>
                <w:color w:val="000000" w:themeColor="text1"/>
                <w:sz w:val="14"/>
                <w:szCs w:val="14"/>
              </w:rPr>
              <w:t>Resultat</w:t>
            </w:r>
          </w:p>
        </w:tc>
        <w:tc>
          <w:tcPr>
            <w:tcW w:w="921" w:type="dxa"/>
            <w:noWrap/>
            <w:hideMark/>
          </w:tcPr>
          <w:p w14:paraId="34AF1DF4"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4"/>
                <w:szCs w:val="14"/>
              </w:rPr>
            </w:pPr>
            <w:r w:rsidRPr="00873C45">
              <w:rPr>
                <w:rFonts w:ascii="Arial" w:hAnsi="Arial" w:cs="Arial"/>
                <w:b/>
                <w:bCs/>
                <w:color w:val="000000" w:themeColor="text1"/>
                <w:sz w:val="14"/>
                <w:szCs w:val="14"/>
              </w:rPr>
              <w:t>36</w:t>
            </w:r>
            <w:r w:rsidRPr="00873C45">
              <w:rPr>
                <w:rFonts w:ascii="Arial" w:hAnsi="Arial" w:cs="Arial"/>
                <w:b/>
                <w:color w:val="000000" w:themeColor="text1"/>
                <w:sz w:val="14"/>
                <w:szCs w:val="14"/>
              </w:rPr>
              <w:t>,1</w:t>
            </w:r>
          </w:p>
        </w:tc>
        <w:tc>
          <w:tcPr>
            <w:tcW w:w="730" w:type="dxa"/>
            <w:noWrap/>
            <w:hideMark/>
          </w:tcPr>
          <w:p w14:paraId="3D1CEC36"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4"/>
                <w:szCs w:val="14"/>
              </w:rPr>
            </w:pPr>
            <w:r w:rsidRPr="00873C45">
              <w:rPr>
                <w:rFonts w:ascii="Arial" w:hAnsi="Arial" w:cs="Arial"/>
                <w:b/>
                <w:bCs/>
                <w:color w:val="000000" w:themeColor="text1"/>
                <w:sz w:val="14"/>
                <w:szCs w:val="14"/>
              </w:rPr>
              <w:t>51,5</w:t>
            </w:r>
          </w:p>
        </w:tc>
        <w:tc>
          <w:tcPr>
            <w:tcW w:w="921" w:type="dxa"/>
            <w:noWrap/>
            <w:hideMark/>
          </w:tcPr>
          <w:p w14:paraId="199EB3E7"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4"/>
                <w:szCs w:val="14"/>
              </w:rPr>
            </w:pPr>
            <w:r w:rsidRPr="00873C45">
              <w:rPr>
                <w:rFonts w:ascii="Arial" w:hAnsi="Arial" w:cs="Arial"/>
                <w:b/>
                <w:bCs/>
                <w:color w:val="000000" w:themeColor="text1"/>
                <w:sz w:val="14"/>
                <w:szCs w:val="14"/>
              </w:rPr>
              <w:t>44,6</w:t>
            </w:r>
          </w:p>
        </w:tc>
        <w:tc>
          <w:tcPr>
            <w:tcW w:w="921" w:type="dxa"/>
            <w:noWrap/>
            <w:hideMark/>
          </w:tcPr>
          <w:p w14:paraId="7868680D"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4"/>
                <w:szCs w:val="14"/>
              </w:rPr>
            </w:pPr>
            <w:r w:rsidRPr="00873C45">
              <w:rPr>
                <w:rFonts w:ascii="Arial" w:hAnsi="Arial" w:cs="Arial"/>
                <w:b/>
                <w:color w:val="000000" w:themeColor="text1"/>
                <w:sz w:val="14"/>
                <w:szCs w:val="14"/>
              </w:rPr>
              <w:t>-6,9</w:t>
            </w:r>
          </w:p>
        </w:tc>
        <w:tc>
          <w:tcPr>
            <w:tcW w:w="921" w:type="dxa"/>
            <w:noWrap/>
            <w:hideMark/>
          </w:tcPr>
          <w:p w14:paraId="586CB155"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4"/>
                <w:szCs w:val="14"/>
              </w:rPr>
            </w:pPr>
            <w:r w:rsidRPr="00873C45">
              <w:rPr>
                <w:rFonts w:ascii="Arial" w:hAnsi="Arial" w:cs="Arial"/>
                <w:b/>
                <w:bCs/>
                <w:color w:val="000000" w:themeColor="text1"/>
                <w:sz w:val="14"/>
                <w:szCs w:val="14"/>
              </w:rPr>
              <w:t>0,9</w:t>
            </w:r>
          </w:p>
        </w:tc>
        <w:tc>
          <w:tcPr>
            <w:tcW w:w="730" w:type="dxa"/>
            <w:noWrap/>
            <w:hideMark/>
          </w:tcPr>
          <w:p w14:paraId="5CDBF866"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4"/>
                <w:szCs w:val="14"/>
              </w:rPr>
            </w:pPr>
            <w:r w:rsidRPr="00873C45">
              <w:rPr>
                <w:rFonts w:ascii="Arial" w:hAnsi="Arial" w:cs="Arial"/>
                <w:b/>
                <w:bCs/>
                <w:color w:val="000000" w:themeColor="text1"/>
                <w:sz w:val="14"/>
                <w:szCs w:val="14"/>
              </w:rPr>
              <w:t>4,0</w:t>
            </w:r>
          </w:p>
        </w:tc>
        <w:tc>
          <w:tcPr>
            <w:tcW w:w="888" w:type="dxa"/>
            <w:noWrap/>
            <w:hideMark/>
          </w:tcPr>
          <w:p w14:paraId="7DD537D1"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4"/>
                <w:szCs w:val="14"/>
              </w:rPr>
            </w:pPr>
            <w:r w:rsidRPr="00873C45">
              <w:rPr>
                <w:rFonts w:ascii="Arial" w:hAnsi="Arial" w:cs="Arial"/>
                <w:b/>
                <w:bCs/>
                <w:color w:val="000000" w:themeColor="text1"/>
                <w:sz w:val="14"/>
                <w:szCs w:val="14"/>
              </w:rPr>
              <w:t>1,8</w:t>
            </w:r>
          </w:p>
        </w:tc>
        <w:tc>
          <w:tcPr>
            <w:tcW w:w="888" w:type="dxa"/>
            <w:noWrap/>
            <w:hideMark/>
          </w:tcPr>
          <w:p w14:paraId="77CB5A2A"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4"/>
                <w:szCs w:val="14"/>
              </w:rPr>
            </w:pPr>
            <w:r w:rsidRPr="00873C45">
              <w:rPr>
                <w:rFonts w:ascii="Arial" w:hAnsi="Arial" w:cs="Arial"/>
                <w:b/>
                <w:bCs/>
                <w:color w:val="000000" w:themeColor="text1"/>
                <w:sz w:val="14"/>
                <w:szCs w:val="14"/>
              </w:rPr>
              <w:t>-2,2</w:t>
            </w:r>
          </w:p>
        </w:tc>
      </w:tr>
      <w:tr w:rsidR="00F03D74" w:rsidRPr="00CD5902" w14:paraId="732ACC9E" w14:textId="77777777" w:rsidTr="00071BFB">
        <w:trPr>
          <w:trHeight w:val="132"/>
        </w:trPr>
        <w:tc>
          <w:tcPr>
            <w:cnfStyle w:val="001000000000" w:firstRow="0" w:lastRow="0" w:firstColumn="1" w:lastColumn="0" w:oddVBand="0" w:evenVBand="0" w:oddHBand="0" w:evenHBand="0" w:firstRowFirstColumn="0" w:firstRowLastColumn="0" w:lastRowFirstColumn="0" w:lastRowLastColumn="0"/>
            <w:tcW w:w="1290" w:type="dxa"/>
            <w:noWrap/>
            <w:hideMark/>
          </w:tcPr>
          <w:p w14:paraId="20E351B5" w14:textId="77777777" w:rsidR="00F03D74" w:rsidRPr="00873C45" w:rsidRDefault="00F03D74" w:rsidP="00071BFB">
            <w:pPr>
              <w:rPr>
                <w:rFonts w:ascii="Arial" w:hAnsi="Arial" w:cs="Arial"/>
                <w:color w:val="000000" w:themeColor="text1"/>
                <w:sz w:val="14"/>
                <w:szCs w:val="14"/>
              </w:rPr>
            </w:pPr>
            <w:r w:rsidRPr="00873C45">
              <w:rPr>
                <w:rFonts w:ascii="Arial" w:hAnsi="Arial" w:cs="Arial"/>
                <w:color w:val="000000" w:themeColor="text1"/>
                <w:sz w:val="14"/>
                <w:szCs w:val="14"/>
              </w:rPr>
              <w:t> </w:t>
            </w:r>
          </w:p>
        </w:tc>
        <w:tc>
          <w:tcPr>
            <w:tcW w:w="921" w:type="dxa"/>
            <w:noWrap/>
            <w:hideMark/>
          </w:tcPr>
          <w:p w14:paraId="4BC25249" w14:textId="77777777" w:rsidR="00F03D74" w:rsidRPr="00873C45" w:rsidRDefault="00F03D74" w:rsidP="00071BF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 </w:t>
            </w:r>
          </w:p>
        </w:tc>
        <w:tc>
          <w:tcPr>
            <w:tcW w:w="730" w:type="dxa"/>
            <w:noWrap/>
            <w:hideMark/>
          </w:tcPr>
          <w:p w14:paraId="78DBA9EF" w14:textId="77777777" w:rsidR="00F03D74" w:rsidRPr="00873C45" w:rsidRDefault="00F03D74" w:rsidP="00071BF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 </w:t>
            </w:r>
          </w:p>
        </w:tc>
        <w:tc>
          <w:tcPr>
            <w:tcW w:w="921" w:type="dxa"/>
            <w:noWrap/>
            <w:hideMark/>
          </w:tcPr>
          <w:p w14:paraId="1E1339DA" w14:textId="77777777" w:rsidR="00F03D74" w:rsidRPr="00873C45" w:rsidRDefault="00F03D74" w:rsidP="00071BF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 </w:t>
            </w:r>
          </w:p>
        </w:tc>
        <w:tc>
          <w:tcPr>
            <w:tcW w:w="921" w:type="dxa"/>
            <w:noWrap/>
            <w:hideMark/>
          </w:tcPr>
          <w:p w14:paraId="629F15C4" w14:textId="77777777" w:rsidR="00F03D74" w:rsidRPr="00873C45" w:rsidRDefault="00F03D74" w:rsidP="00071BF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 </w:t>
            </w:r>
          </w:p>
        </w:tc>
        <w:tc>
          <w:tcPr>
            <w:tcW w:w="921" w:type="dxa"/>
            <w:noWrap/>
            <w:hideMark/>
          </w:tcPr>
          <w:p w14:paraId="0C12FB8A" w14:textId="77777777" w:rsidR="00F03D74" w:rsidRPr="00873C45" w:rsidRDefault="00F03D74" w:rsidP="00071BF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 </w:t>
            </w:r>
          </w:p>
        </w:tc>
        <w:tc>
          <w:tcPr>
            <w:tcW w:w="730" w:type="dxa"/>
            <w:noWrap/>
            <w:hideMark/>
          </w:tcPr>
          <w:p w14:paraId="4F488FDC" w14:textId="77777777" w:rsidR="00F03D74" w:rsidRPr="00873C45" w:rsidRDefault="00F03D74" w:rsidP="00071BF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 </w:t>
            </w:r>
          </w:p>
        </w:tc>
        <w:tc>
          <w:tcPr>
            <w:tcW w:w="888" w:type="dxa"/>
            <w:noWrap/>
            <w:hideMark/>
          </w:tcPr>
          <w:p w14:paraId="2DC3C3A3" w14:textId="77777777" w:rsidR="00F03D74" w:rsidRPr="00873C45" w:rsidRDefault="00F03D74" w:rsidP="00071BF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 </w:t>
            </w:r>
          </w:p>
        </w:tc>
        <w:tc>
          <w:tcPr>
            <w:tcW w:w="888" w:type="dxa"/>
            <w:noWrap/>
            <w:hideMark/>
          </w:tcPr>
          <w:p w14:paraId="4A352074" w14:textId="77777777" w:rsidR="00F03D74" w:rsidRPr="00873C45" w:rsidRDefault="00F03D74" w:rsidP="00071BF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 </w:t>
            </w:r>
          </w:p>
        </w:tc>
      </w:tr>
      <w:tr w:rsidR="00F03D74" w:rsidRPr="00CD5902" w14:paraId="44D728F0" w14:textId="77777777" w:rsidTr="00071BFB">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290" w:type="dxa"/>
            <w:noWrap/>
            <w:hideMark/>
          </w:tcPr>
          <w:p w14:paraId="4BF8B85E" w14:textId="77777777" w:rsidR="00F03D74" w:rsidRPr="00873C45" w:rsidRDefault="00F03D74" w:rsidP="00071BFB">
            <w:pPr>
              <w:rPr>
                <w:rFonts w:ascii="Arial" w:hAnsi="Arial" w:cs="Arial"/>
                <w:color w:val="000000" w:themeColor="text1"/>
                <w:sz w:val="14"/>
                <w:szCs w:val="14"/>
              </w:rPr>
            </w:pPr>
            <w:r w:rsidRPr="00873C45">
              <w:rPr>
                <w:rFonts w:ascii="Arial" w:hAnsi="Arial" w:cs="Arial"/>
                <w:color w:val="000000" w:themeColor="text1"/>
                <w:sz w:val="14"/>
                <w:szCs w:val="14"/>
              </w:rPr>
              <w:t>Likviditet inkl. værdipapirer</w:t>
            </w:r>
          </w:p>
        </w:tc>
        <w:tc>
          <w:tcPr>
            <w:tcW w:w="921" w:type="dxa"/>
            <w:noWrap/>
            <w:hideMark/>
          </w:tcPr>
          <w:p w14:paraId="1FC5C870"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1.336,2</w:t>
            </w:r>
          </w:p>
        </w:tc>
        <w:tc>
          <w:tcPr>
            <w:tcW w:w="730" w:type="dxa"/>
            <w:noWrap/>
            <w:hideMark/>
          </w:tcPr>
          <w:p w14:paraId="01A745CF"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 </w:t>
            </w:r>
          </w:p>
        </w:tc>
        <w:tc>
          <w:tcPr>
            <w:tcW w:w="921" w:type="dxa"/>
            <w:noWrap/>
            <w:hideMark/>
          </w:tcPr>
          <w:p w14:paraId="092DD6DE"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1.113,7</w:t>
            </w:r>
          </w:p>
        </w:tc>
        <w:tc>
          <w:tcPr>
            <w:tcW w:w="921" w:type="dxa"/>
            <w:noWrap/>
            <w:hideMark/>
          </w:tcPr>
          <w:p w14:paraId="3E98ACC2"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 </w:t>
            </w:r>
          </w:p>
        </w:tc>
        <w:tc>
          <w:tcPr>
            <w:tcW w:w="921" w:type="dxa"/>
            <w:noWrap/>
            <w:hideMark/>
          </w:tcPr>
          <w:p w14:paraId="022876F8"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1.397,0</w:t>
            </w:r>
          </w:p>
        </w:tc>
        <w:tc>
          <w:tcPr>
            <w:tcW w:w="730" w:type="dxa"/>
            <w:noWrap/>
            <w:hideMark/>
          </w:tcPr>
          <w:p w14:paraId="6568B3DA"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1.041,4</w:t>
            </w:r>
          </w:p>
        </w:tc>
        <w:tc>
          <w:tcPr>
            <w:tcW w:w="888" w:type="dxa"/>
            <w:noWrap/>
            <w:hideMark/>
          </w:tcPr>
          <w:p w14:paraId="7CC88F08"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891,6</w:t>
            </w:r>
          </w:p>
        </w:tc>
        <w:tc>
          <w:tcPr>
            <w:tcW w:w="888" w:type="dxa"/>
            <w:noWrap/>
            <w:hideMark/>
          </w:tcPr>
          <w:p w14:paraId="352418C6" w14:textId="77777777" w:rsidR="00F03D74" w:rsidRPr="00873C45" w:rsidRDefault="00F03D74" w:rsidP="00071BF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-149,8</w:t>
            </w:r>
          </w:p>
        </w:tc>
      </w:tr>
      <w:tr w:rsidR="00F03D74" w:rsidRPr="00CD5902" w14:paraId="4CEC783D" w14:textId="77777777" w:rsidTr="00071BFB">
        <w:trPr>
          <w:trHeight w:val="346"/>
        </w:trPr>
        <w:tc>
          <w:tcPr>
            <w:cnfStyle w:val="001000000000" w:firstRow="0" w:lastRow="0" w:firstColumn="1" w:lastColumn="0" w:oddVBand="0" w:evenVBand="0" w:oddHBand="0" w:evenHBand="0" w:firstRowFirstColumn="0" w:firstRowLastColumn="0" w:lastRowFirstColumn="0" w:lastRowLastColumn="0"/>
            <w:tcW w:w="1290" w:type="dxa"/>
            <w:noWrap/>
            <w:hideMark/>
          </w:tcPr>
          <w:p w14:paraId="0D4A6432" w14:textId="77777777" w:rsidR="00F03D74" w:rsidRPr="00873C45" w:rsidRDefault="00F03D74" w:rsidP="00071BFB">
            <w:pPr>
              <w:rPr>
                <w:rFonts w:ascii="Arial" w:hAnsi="Arial" w:cs="Arial"/>
                <w:color w:val="000000" w:themeColor="text1"/>
                <w:sz w:val="14"/>
                <w:szCs w:val="14"/>
              </w:rPr>
            </w:pPr>
            <w:r w:rsidRPr="00873C45">
              <w:rPr>
                <w:rFonts w:ascii="Arial" w:hAnsi="Arial" w:cs="Arial"/>
                <w:color w:val="000000" w:themeColor="text1"/>
                <w:sz w:val="14"/>
                <w:szCs w:val="14"/>
              </w:rPr>
              <w:t>Langfristet lån. Inkl. SWAP</w:t>
            </w:r>
          </w:p>
        </w:tc>
        <w:tc>
          <w:tcPr>
            <w:tcW w:w="921" w:type="dxa"/>
            <w:noWrap/>
            <w:hideMark/>
          </w:tcPr>
          <w:p w14:paraId="79F27FF1" w14:textId="77777777" w:rsidR="00F03D74" w:rsidRPr="00873C45" w:rsidRDefault="00F03D74" w:rsidP="00071BF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5.578,0</w:t>
            </w:r>
          </w:p>
        </w:tc>
        <w:tc>
          <w:tcPr>
            <w:tcW w:w="730" w:type="dxa"/>
            <w:noWrap/>
            <w:hideMark/>
          </w:tcPr>
          <w:p w14:paraId="67234014" w14:textId="77777777" w:rsidR="00F03D74" w:rsidRPr="00873C45" w:rsidRDefault="00F03D74" w:rsidP="00071BF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 </w:t>
            </w:r>
          </w:p>
        </w:tc>
        <w:tc>
          <w:tcPr>
            <w:tcW w:w="921" w:type="dxa"/>
            <w:noWrap/>
            <w:hideMark/>
          </w:tcPr>
          <w:p w14:paraId="4E5E1F19" w14:textId="77777777" w:rsidR="00F03D74" w:rsidRPr="00873C45" w:rsidRDefault="00F03D74" w:rsidP="00071BF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5.543,3</w:t>
            </w:r>
          </w:p>
        </w:tc>
        <w:tc>
          <w:tcPr>
            <w:tcW w:w="921" w:type="dxa"/>
            <w:noWrap/>
            <w:hideMark/>
          </w:tcPr>
          <w:p w14:paraId="0BDBE823" w14:textId="77777777" w:rsidR="00F03D74" w:rsidRPr="00873C45" w:rsidRDefault="00F03D74" w:rsidP="00071BF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 </w:t>
            </w:r>
          </w:p>
        </w:tc>
        <w:tc>
          <w:tcPr>
            <w:tcW w:w="921" w:type="dxa"/>
            <w:noWrap/>
            <w:hideMark/>
          </w:tcPr>
          <w:p w14:paraId="0E654954" w14:textId="77777777" w:rsidR="00F03D74" w:rsidRPr="00873C45" w:rsidRDefault="00F03D74" w:rsidP="00071BF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5.579,5</w:t>
            </w:r>
          </w:p>
        </w:tc>
        <w:tc>
          <w:tcPr>
            <w:tcW w:w="730" w:type="dxa"/>
            <w:noWrap/>
            <w:hideMark/>
          </w:tcPr>
          <w:p w14:paraId="5EBAE159" w14:textId="77777777" w:rsidR="00F03D74" w:rsidRPr="00873C45" w:rsidRDefault="00F03D74" w:rsidP="00071BF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6.119,4</w:t>
            </w:r>
          </w:p>
        </w:tc>
        <w:tc>
          <w:tcPr>
            <w:tcW w:w="888" w:type="dxa"/>
            <w:noWrap/>
            <w:hideMark/>
          </w:tcPr>
          <w:p w14:paraId="4263F843" w14:textId="77777777" w:rsidR="00F03D74" w:rsidRPr="00873C45" w:rsidRDefault="00F03D74" w:rsidP="00071BF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5.479,2</w:t>
            </w:r>
          </w:p>
        </w:tc>
        <w:tc>
          <w:tcPr>
            <w:tcW w:w="888" w:type="dxa"/>
            <w:noWrap/>
            <w:hideMark/>
          </w:tcPr>
          <w:p w14:paraId="1037EF85" w14:textId="77777777" w:rsidR="00F03D74" w:rsidRPr="00873C45" w:rsidRDefault="00F03D74" w:rsidP="00071BF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873C45">
              <w:rPr>
                <w:rFonts w:ascii="Arial" w:hAnsi="Arial" w:cs="Arial"/>
                <w:color w:val="000000" w:themeColor="text1"/>
                <w:sz w:val="14"/>
                <w:szCs w:val="14"/>
              </w:rPr>
              <w:t>-640,2</w:t>
            </w:r>
          </w:p>
        </w:tc>
      </w:tr>
    </w:tbl>
    <w:p w14:paraId="38D2263B" w14:textId="6F3FF240" w:rsidR="00F03D74" w:rsidRPr="00613DE5" w:rsidRDefault="00F03D74" w:rsidP="00613DE5">
      <w:pPr>
        <w:spacing w:line="360" w:lineRule="auto"/>
        <w:jc w:val="both"/>
        <w:rPr>
          <w:rFonts w:ascii="Arial" w:eastAsia="Arial" w:hAnsi="Arial" w:cs="Arial"/>
          <w:b/>
          <w:bCs/>
          <w:sz w:val="20"/>
          <w:szCs w:val="20"/>
        </w:rPr>
      </w:pPr>
      <w:bookmarkStart w:id="0" w:name="_Hlk118965146"/>
      <w:r>
        <w:rPr>
          <w:rFonts w:ascii="Arial" w:eastAsia="Arial" w:hAnsi="Arial" w:cs="Arial"/>
          <w:b/>
          <w:bCs/>
        </w:rPr>
        <w:br/>
      </w:r>
      <w:r w:rsidRPr="00873C45">
        <w:rPr>
          <w:rFonts w:ascii="Arial" w:eastAsia="Arial" w:hAnsi="Arial" w:cs="Arial"/>
          <w:b/>
          <w:bCs/>
          <w:sz w:val="20"/>
          <w:szCs w:val="20"/>
        </w:rPr>
        <w:t>Indtægter</w:t>
      </w:r>
      <w:r w:rsidR="00613DE5">
        <w:rPr>
          <w:rFonts w:ascii="Arial" w:eastAsia="Arial" w:hAnsi="Arial" w:cs="Arial"/>
          <w:b/>
          <w:bCs/>
          <w:sz w:val="20"/>
          <w:szCs w:val="20"/>
        </w:rPr>
        <w:br/>
      </w:r>
      <w:r w:rsidRPr="00873C45">
        <w:rPr>
          <w:rFonts w:ascii="Arial" w:eastAsia="Arial" w:hAnsi="Arial" w:cs="Arial"/>
          <w:sz w:val="20"/>
          <w:szCs w:val="20"/>
        </w:rPr>
        <w:t xml:space="preserve">De samlede realiserede indtægter efter 1. kvartal er 1.659,6 mio. kr., hvilket er 80,7 mio. kr. lavere end budgettet på 1.740,3 mio. kr. og skyldes primært lavere indtægter fra Tilskudsfinansierede aktiviteter og lavere Øvrige indtægter. For hele året forventes indtægterne at være 7.037,6 mio. kr., hvilket er 10,4 mio. kr. lavere end budgettet på </w:t>
      </w:r>
      <w:bookmarkEnd w:id="0"/>
      <w:r w:rsidRPr="00873C45">
        <w:rPr>
          <w:rFonts w:ascii="Arial" w:eastAsia="Arial" w:hAnsi="Arial" w:cs="Arial"/>
          <w:sz w:val="20"/>
          <w:szCs w:val="20"/>
        </w:rPr>
        <w:t>7.048,0 mio. kr. og skyldes primært lavere indtægter fra Tilskudsfinansierede aktiviteter og modsatrettet højere Øvrige indtægter.</w:t>
      </w:r>
    </w:p>
    <w:p w14:paraId="68B05B7D" w14:textId="77777777" w:rsidR="00613DE5" w:rsidRDefault="00613DE5" w:rsidP="00F03D74">
      <w:pPr>
        <w:rPr>
          <w:rFonts w:ascii="Arial" w:eastAsia="Arial" w:hAnsi="Arial" w:cs="Arial"/>
          <w:b/>
        </w:rPr>
      </w:pPr>
    </w:p>
    <w:p w14:paraId="75F43321" w14:textId="77777777" w:rsidR="00613DE5" w:rsidRDefault="00613DE5" w:rsidP="00F03D74">
      <w:pPr>
        <w:rPr>
          <w:rFonts w:ascii="Arial" w:eastAsia="Arial" w:hAnsi="Arial" w:cs="Arial"/>
          <w:b/>
        </w:rPr>
      </w:pPr>
    </w:p>
    <w:p w14:paraId="0D8662F3" w14:textId="77777777" w:rsidR="00613DE5" w:rsidRDefault="00613DE5" w:rsidP="00F03D74">
      <w:pPr>
        <w:rPr>
          <w:rFonts w:ascii="Arial" w:eastAsia="Arial" w:hAnsi="Arial" w:cs="Arial"/>
          <w:b/>
        </w:rPr>
      </w:pPr>
    </w:p>
    <w:p w14:paraId="3826A48E" w14:textId="77777777" w:rsidR="00613DE5" w:rsidRDefault="00613DE5" w:rsidP="00F03D74">
      <w:pPr>
        <w:rPr>
          <w:rFonts w:ascii="Arial" w:eastAsia="Arial" w:hAnsi="Arial" w:cs="Arial"/>
          <w:b/>
        </w:rPr>
      </w:pPr>
    </w:p>
    <w:p w14:paraId="7F7AF7C9" w14:textId="77777777" w:rsidR="00613DE5" w:rsidRDefault="00613DE5" w:rsidP="00F03D74">
      <w:pPr>
        <w:rPr>
          <w:rFonts w:ascii="Arial" w:eastAsia="Arial" w:hAnsi="Arial" w:cs="Arial"/>
          <w:b/>
        </w:rPr>
      </w:pPr>
    </w:p>
    <w:p w14:paraId="088E567A" w14:textId="77777777" w:rsidR="00613DE5" w:rsidRDefault="00613DE5" w:rsidP="00F03D74">
      <w:pPr>
        <w:rPr>
          <w:rFonts w:ascii="Arial" w:eastAsia="Arial" w:hAnsi="Arial" w:cs="Arial"/>
          <w:b/>
        </w:rPr>
      </w:pPr>
    </w:p>
    <w:p w14:paraId="04F40409" w14:textId="77777777" w:rsidR="00613DE5" w:rsidRDefault="00613DE5" w:rsidP="00F03D74">
      <w:pPr>
        <w:rPr>
          <w:rFonts w:ascii="Arial" w:eastAsia="Arial" w:hAnsi="Arial" w:cs="Arial"/>
          <w:b/>
        </w:rPr>
      </w:pPr>
    </w:p>
    <w:p w14:paraId="29632EB6" w14:textId="57983347" w:rsidR="00F03D74" w:rsidRPr="00613DE5" w:rsidRDefault="00F03D74" w:rsidP="00F03D74">
      <w:pPr>
        <w:rPr>
          <w:rFonts w:ascii="Arial" w:eastAsia="Arial" w:hAnsi="Arial" w:cs="Arial"/>
          <w:sz w:val="20"/>
          <w:szCs w:val="20"/>
        </w:rPr>
      </w:pPr>
      <w:r w:rsidRPr="00613DE5">
        <w:rPr>
          <w:rFonts w:ascii="Arial" w:eastAsia="Arial" w:hAnsi="Arial" w:cs="Arial"/>
          <w:b/>
          <w:sz w:val="20"/>
          <w:szCs w:val="20"/>
        </w:rPr>
        <w:lastRenderedPageBreak/>
        <w:t>Fordeling af samlede indtægter (mio. kr.):</w:t>
      </w:r>
    </w:p>
    <w:p w14:paraId="5D03C70B" w14:textId="77777777" w:rsidR="00F03D74" w:rsidRPr="000B3CED" w:rsidRDefault="00F03D74" w:rsidP="00F03D74">
      <w:pPr>
        <w:spacing w:line="360" w:lineRule="auto"/>
        <w:rPr>
          <w:rFonts w:ascii="Arial" w:eastAsia="Arial" w:hAnsi="Arial" w:cs="Arial"/>
          <w:b/>
          <w:highlight w:val="yellow"/>
        </w:rPr>
      </w:pPr>
      <w:r w:rsidRPr="005A023A">
        <w:rPr>
          <w:rFonts w:ascii="Arial" w:eastAsia="Arial" w:hAnsi="Arial" w:cs="Arial"/>
          <w:b/>
          <w:noProof/>
        </w:rPr>
        <w:drawing>
          <wp:inline distT="0" distB="0" distL="0" distR="0" wp14:anchorId="5634AC4A" wp14:editId="3DC26C6C">
            <wp:extent cx="5731510" cy="4053840"/>
            <wp:effectExtent l="0" t="0" r="2540" b="3810"/>
            <wp:docPr id="2091424158" name="Picture 1" descr="A graph of numbers and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424158" name="Picture 1" descr="A graph of numbers and a number of people&#10;&#10;AI-generated content may be incorrect."/>
                    <pic:cNvPicPr/>
                  </pic:nvPicPr>
                  <pic:blipFill>
                    <a:blip r:embed="rId8"/>
                    <a:stretch>
                      <a:fillRect/>
                    </a:stretch>
                  </pic:blipFill>
                  <pic:spPr>
                    <a:xfrm>
                      <a:off x="0" y="0"/>
                      <a:ext cx="5731510" cy="4053840"/>
                    </a:xfrm>
                    <a:prstGeom prst="rect">
                      <a:avLst/>
                    </a:prstGeom>
                  </pic:spPr>
                </pic:pic>
              </a:graphicData>
            </a:graphic>
          </wp:inline>
        </w:drawing>
      </w:r>
    </w:p>
    <w:p w14:paraId="67DA0906" w14:textId="77777777" w:rsidR="00613DE5" w:rsidRDefault="00613DE5" w:rsidP="00F03D74">
      <w:pPr>
        <w:spacing w:line="360" w:lineRule="auto"/>
        <w:rPr>
          <w:rFonts w:ascii="Arial" w:eastAsia="Arial" w:hAnsi="Arial" w:cs="Arial"/>
          <w:i/>
          <w:sz w:val="20"/>
          <w:szCs w:val="20"/>
        </w:rPr>
      </w:pPr>
    </w:p>
    <w:p w14:paraId="75C46D48" w14:textId="77777777" w:rsidR="00613DE5" w:rsidRDefault="00613DE5" w:rsidP="006150DE">
      <w:pPr>
        <w:spacing w:after="0" w:line="360" w:lineRule="auto"/>
        <w:jc w:val="both"/>
        <w:rPr>
          <w:rFonts w:ascii="Arial" w:eastAsia="Arial" w:hAnsi="Arial" w:cs="Arial"/>
          <w:i/>
          <w:sz w:val="20"/>
          <w:szCs w:val="20"/>
        </w:rPr>
      </w:pPr>
      <w:r w:rsidRPr="00613DE5">
        <w:rPr>
          <w:rFonts w:ascii="Arial" w:eastAsia="Arial" w:hAnsi="Arial" w:cs="Arial"/>
          <w:i/>
          <w:sz w:val="20"/>
          <w:szCs w:val="20"/>
        </w:rPr>
        <w:t>Tilskuddet til forskning og udvikling</w:t>
      </w:r>
    </w:p>
    <w:p w14:paraId="64DC1AFE" w14:textId="0BA16649" w:rsidR="00F03D74" w:rsidRPr="00613DE5" w:rsidRDefault="00F03D74" w:rsidP="006150DE">
      <w:pPr>
        <w:spacing w:after="0" w:line="360" w:lineRule="auto"/>
        <w:jc w:val="both"/>
        <w:rPr>
          <w:rFonts w:ascii="Arial" w:eastAsia="Arial" w:hAnsi="Arial" w:cs="Arial"/>
          <w:i/>
          <w:iCs/>
        </w:rPr>
      </w:pPr>
      <w:r w:rsidRPr="00613DE5">
        <w:rPr>
          <w:rFonts w:ascii="Arial" w:eastAsia="Arial" w:hAnsi="Arial" w:cs="Arial"/>
          <w:iCs/>
          <w:sz w:val="20"/>
          <w:szCs w:val="20"/>
        </w:rPr>
        <w:t>Tilskuddet til forskning og udvikling</w:t>
      </w:r>
      <w:r w:rsidRPr="00613DE5">
        <w:rPr>
          <w:rFonts w:ascii="Arial" w:eastAsia="Arial" w:hAnsi="Arial" w:cs="Arial"/>
          <w:sz w:val="20"/>
          <w:szCs w:val="20"/>
        </w:rPr>
        <w:t xml:space="preserve"> efter 1. kvartal er 462,4 mio. kr., hvilket er 0,5 mio. kr. lavere end budgettet på 462,9 mio. kr. For hele året er prognosen 1.849,7 mio. kr., hvilket er 2,0 mio. kr. lavere end budgettet på 1.851,7 mio. kr. Dette skyldes en mindre korrektion i periodiseringen af midler til strategiske forskningsmiljøer.</w:t>
      </w:r>
    </w:p>
    <w:p w14:paraId="689F4974" w14:textId="77777777" w:rsidR="006150DE" w:rsidRDefault="006150DE" w:rsidP="006150DE">
      <w:pPr>
        <w:spacing w:after="0" w:line="360" w:lineRule="auto"/>
        <w:jc w:val="both"/>
        <w:rPr>
          <w:rFonts w:ascii="Arial" w:eastAsia="Arial" w:hAnsi="Arial" w:cs="Arial"/>
          <w:i/>
          <w:sz w:val="20"/>
          <w:szCs w:val="20"/>
        </w:rPr>
      </w:pPr>
    </w:p>
    <w:p w14:paraId="2F124811" w14:textId="2E2BFD40" w:rsidR="00613DE5" w:rsidRDefault="00613DE5" w:rsidP="006150DE">
      <w:pPr>
        <w:spacing w:after="0" w:line="360" w:lineRule="auto"/>
        <w:jc w:val="both"/>
        <w:rPr>
          <w:rFonts w:ascii="Arial" w:eastAsia="Arial" w:hAnsi="Arial" w:cs="Arial"/>
          <w:i/>
          <w:sz w:val="20"/>
          <w:szCs w:val="20"/>
        </w:rPr>
      </w:pPr>
      <w:r w:rsidRPr="00613DE5">
        <w:rPr>
          <w:rFonts w:ascii="Arial" w:eastAsia="Arial" w:hAnsi="Arial" w:cs="Arial"/>
          <w:i/>
          <w:sz w:val="20"/>
          <w:szCs w:val="20"/>
        </w:rPr>
        <w:t>Uddannelsesindtægterne</w:t>
      </w:r>
    </w:p>
    <w:p w14:paraId="6B04792F" w14:textId="201A6145" w:rsidR="00F03D74" w:rsidRPr="00613DE5" w:rsidRDefault="00F03D74" w:rsidP="006150DE">
      <w:pPr>
        <w:spacing w:after="0" w:line="360" w:lineRule="auto"/>
        <w:jc w:val="both"/>
        <w:rPr>
          <w:rFonts w:ascii="Arial" w:eastAsia="Arial" w:hAnsi="Arial" w:cs="Arial"/>
          <w:sz w:val="20"/>
          <w:szCs w:val="20"/>
        </w:rPr>
      </w:pPr>
      <w:r w:rsidRPr="00613DE5">
        <w:rPr>
          <w:rFonts w:ascii="Arial" w:eastAsia="Arial" w:hAnsi="Arial" w:cs="Arial"/>
          <w:iCs/>
          <w:sz w:val="20"/>
          <w:szCs w:val="20"/>
        </w:rPr>
        <w:t>Uddannelsesindtægterne</w:t>
      </w:r>
      <w:r w:rsidRPr="00613DE5">
        <w:rPr>
          <w:rFonts w:ascii="Arial" w:eastAsia="Arial" w:hAnsi="Arial" w:cs="Arial"/>
          <w:sz w:val="20"/>
          <w:szCs w:val="20"/>
        </w:rPr>
        <w:t xml:space="preserve"> efter 1. kvartal er 250,8 mio. kr., hvilket er 2,1 mio. kr. højere end budgettet på 248,7 mio. kr. Dette skyldes tildeling af decentrale grundtilskud, som ikke har været medtaget i budgettet på grund af usikkerhed omkring udbetalingstidspunkt. For hele året er prognosen 1.002,7 mio. kr., hvilket er 8,0 mio. kr. højere end budgettet på 994,7 mio. kr. Dette skyldes ligeledes det decentrale grundtilskud, der samlet er 8,6 mio. kr. for hele året. </w:t>
      </w:r>
    </w:p>
    <w:p w14:paraId="298E7035" w14:textId="77777777" w:rsidR="006150DE" w:rsidRDefault="006150DE" w:rsidP="006150DE">
      <w:pPr>
        <w:spacing w:after="0" w:line="360" w:lineRule="auto"/>
        <w:jc w:val="both"/>
        <w:rPr>
          <w:rFonts w:ascii="Arial" w:eastAsia="Arial" w:hAnsi="Arial" w:cs="Arial"/>
          <w:i/>
          <w:sz w:val="20"/>
          <w:szCs w:val="20"/>
        </w:rPr>
      </w:pPr>
      <w:bookmarkStart w:id="1" w:name="_Hlk175130468"/>
    </w:p>
    <w:p w14:paraId="584A5D96" w14:textId="41D1D2BD" w:rsidR="00613DE5" w:rsidRDefault="00613DE5" w:rsidP="006150DE">
      <w:pPr>
        <w:spacing w:after="0" w:line="360" w:lineRule="auto"/>
        <w:jc w:val="both"/>
        <w:rPr>
          <w:rFonts w:ascii="Arial" w:eastAsia="Arial" w:hAnsi="Arial" w:cs="Arial"/>
          <w:sz w:val="20"/>
          <w:szCs w:val="20"/>
        </w:rPr>
      </w:pPr>
      <w:r w:rsidRPr="00613DE5">
        <w:rPr>
          <w:rFonts w:ascii="Arial" w:eastAsia="Arial" w:hAnsi="Arial" w:cs="Arial"/>
          <w:i/>
          <w:sz w:val="20"/>
          <w:szCs w:val="20"/>
        </w:rPr>
        <w:t>Forskningsbaseret myndighedsbetjening</w:t>
      </w:r>
      <w:r w:rsidRPr="00613DE5">
        <w:rPr>
          <w:rFonts w:ascii="Arial" w:eastAsia="Arial" w:hAnsi="Arial" w:cs="Arial"/>
          <w:sz w:val="20"/>
          <w:szCs w:val="20"/>
        </w:rPr>
        <w:t xml:space="preserve"> </w:t>
      </w:r>
    </w:p>
    <w:p w14:paraId="25A9E408" w14:textId="37F51816" w:rsidR="00F03D74" w:rsidRPr="00613DE5" w:rsidRDefault="00F03D74" w:rsidP="006150DE">
      <w:pPr>
        <w:spacing w:after="0" w:line="360" w:lineRule="auto"/>
        <w:jc w:val="both"/>
        <w:rPr>
          <w:rFonts w:ascii="Arial" w:eastAsia="Arial" w:hAnsi="Arial" w:cs="Arial"/>
          <w:sz w:val="20"/>
          <w:szCs w:val="20"/>
        </w:rPr>
      </w:pPr>
      <w:r w:rsidRPr="00613DE5">
        <w:rPr>
          <w:rFonts w:ascii="Arial" w:eastAsia="Arial" w:hAnsi="Arial" w:cs="Arial"/>
          <w:iCs/>
          <w:sz w:val="20"/>
          <w:szCs w:val="20"/>
        </w:rPr>
        <w:t>Forskningsbaseret myndighedsbetjening</w:t>
      </w:r>
      <w:r w:rsidRPr="00613DE5">
        <w:rPr>
          <w:rFonts w:ascii="Arial" w:eastAsia="Arial" w:hAnsi="Arial" w:cs="Arial"/>
          <w:sz w:val="20"/>
          <w:szCs w:val="20"/>
        </w:rPr>
        <w:t xml:space="preserve"> efter 1. kvartal udgør 59,6 mio. kr., hvilket er stort set lig budgettet. For hele året er prognosen 238,2 mio. kr., hvilket er lig budgettet.</w:t>
      </w:r>
    </w:p>
    <w:p w14:paraId="67AA5822" w14:textId="77777777" w:rsidR="006150DE" w:rsidRDefault="006150DE" w:rsidP="00613DE5">
      <w:pPr>
        <w:spacing w:after="0" w:line="360" w:lineRule="auto"/>
        <w:jc w:val="both"/>
        <w:rPr>
          <w:rFonts w:ascii="Arial" w:eastAsia="Arial" w:hAnsi="Arial" w:cs="Arial"/>
          <w:i/>
          <w:sz w:val="20"/>
          <w:szCs w:val="20"/>
        </w:rPr>
      </w:pPr>
    </w:p>
    <w:p w14:paraId="6D050B66" w14:textId="77777777" w:rsidR="006150DE" w:rsidRDefault="006150DE" w:rsidP="00613DE5">
      <w:pPr>
        <w:spacing w:after="0" w:line="360" w:lineRule="auto"/>
        <w:jc w:val="both"/>
        <w:rPr>
          <w:rFonts w:ascii="Arial" w:eastAsia="Arial" w:hAnsi="Arial" w:cs="Arial"/>
          <w:i/>
          <w:sz w:val="20"/>
          <w:szCs w:val="20"/>
        </w:rPr>
      </w:pPr>
    </w:p>
    <w:p w14:paraId="65A23D3E" w14:textId="0D03FCC7" w:rsidR="00613DE5" w:rsidRDefault="00613DE5" w:rsidP="00613DE5">
      <w:pPr>
        <w:spacing w:after="0" w:line="360" w:lineRule="auto"/>
        <w:jc w:val="both"/>
        <w:rPr>
          <w:rFonts w:ascii="Arial" w:eastAsia="Arial" w:hAnsi="Arial" w:cs="Arial"/>
          <w:i/>
          <w:sz w:val="20"/>
          <w:szCs w:val="20"/>
        </w:rPr>
      </w:pPr>
      <w:r w:rsidRPr="00613DE5">
        <w:rPr>
          <w:rFonts w:ascii="Arial" w:eastAsia="Arial" w:hAnsi="Arial" w:cs="Arial"/>
          <w:i/>
          <w:sz w:val="20"/>
          <w:szCs w:val="20"/>
        </w:rPr>
        <w:lastRenderedPageBreak/>
        <w:t>Øvrige indtægter på finansloven</w:t>
      </w:r>
    </w:p>
    <w:p w14:paraId="019DC660" w14:textId="564F87C3" w:rsidR="00F03D74" w:rsidRPr="00613DE5" w:rsidRDefault="00F03D74" w:rsidP="006150DE">
      <w:pPr>
        <w:spacing w:after="0" w:line="360" w:lineRule="auto"/>
        <w:jc w:val="both"/>
        <w:rPr>
          <w:rFonts w:ascii="Arial" w:eastAsia="Arial" w:hAnsi="Arial" w:cs="Arial"/>
          <w:sz w:val="20"/>
          <w:szCs w:val="20"/>
        </w:rPr>
      </w:pPr>
      <w:r w:rsidRPr="00613DE5">
        <w:rPr>
          <w:rFonts w:ascii="Arial" w:eastAsia="Arial" w:hAnsi="Arial" w:cs="Arial"/>
          <w:iCs/>
          <w:sz w:val="20"/>
          <w:szCs w:val="20"/>
        </w:rPr>
        <w:t>Øvrige indtægter på finansloven</w:t>
      </w:r>
      <w:r w:rsidRPr="00613DE5">
        <w:rPr>
          <w:rFonts w:ascii="Arial" w:eastAsia="Arial" w:hAnsi="Arial" w:cs="Arial"/>
          <w:i/>
          <w:sz w:val="20"/>
          <w:szCs w:val="20"/>
        </w:rPr>
        <w:t xml:space="preserve"> </w:t>
      </w:r>
      <w:r w:rsidRPr="00613DE5">
        <w:rPr>
          <w:rFonts w:ascii="Arial" w:eastAsia="Arial" w:hAnsi="Arial" w:cs="Arial"/>
          <w:sz w:val="20"/>
          <w:szCs w:val="20"/>
        </w:rPr>
        <w:t>efter 1. kvartal udgør 4,9 mio. kr., hvilket er lig budgettet og det samme er gældende for prognosen for hele året på 19,5 mio. kr.</w:t>
      </w:r>
    </w:p>
    <w:p w14:paraId="1CCFFE95" w14:textId="77777777" w:rsidR="00F03D74" w:rsidRPr="00613DE5" w:rsidRDefault="00F03D74" w:rsidP="006150DE">
      <w:pPr>
        <w:spacing w:after="0" w:line="360" w:lineRule="auto"/>
        <w:jc w:val="both"/>
        <w:rPr>
          <w:rFonts w:ascii="Arial" w:eastAsia="Arial" w:hAnsi="Arial" w:cs="Arial"/>
          <w:sz w:val="20"/>
          <w:szCs w:val="20"/>
        </w:rPr>
      </w:pPr>
    </w:p>
    <w:bookmarkEnd w:id="1"/>
    <w:p w14:paraId="6B8535E6" w14:textId="77777777" w:rsidR="00613DE5" w:rsidRDefault="00613DE5" w:rsidP="006150DE">
      <w:pPr>
        <w:spacing w:after="0" w:line="360" w:lineRule="auto"/>
        <w:jc w:val="both"/>
        <w:rPr>
          <w:rFonts w:ascii="Arial" w:eastAsia="Arial" w:hAnsi="Arial" w:cs="Arial"/>
          <w:sz w:val="20"/>
          <w:szCs w:val="20"/>
        </w:rPr>
      </w:pPr>
      <w:r w:rsidRPr="00613DE5">
        <w:rPr>
          <w:rFonts w:ascii="Arial" w:eastAsia="Arial" w:hAnsi="Arial" w:cs="Arial"/>
          <w:i/>
          <w:iCs/>
          <w:sz w:val="20"/>
          <w:szCs w:val="20"/>
        </w:rPr>
        <w:t>Ti</w:t>
      </w:r>
      <w:r w:rsidRPr="00613DE5">
        <w:rPr>
          <w:rFonts w:ascii="Arial" w:eastAsia="Arial" w:hAnsi="Arial" w:cs="Arial"/>
          <w:i/>
          <w:sz w:val="20"/>
          <w:szCs w:val="20"/>
        </w:rPr>
        <w:t>lskudsfinansierede aktiviteter eksklusive anlægsdonationer</w:t>
      </w:r>
      <w:r w:rsidRPr="00613DE5">
        <w:rPr>
          <w:rFonts w:ascii="Arial" w:eastAsia="Arial" w:hAnsi="Arial" w:cs="Arial"/>
          <w:sz w:val="20"/>
          <w:szCs w:val="20"/>
        </w:rPr>
        <w:t xml:space="preserve"> </w:t>
      </w:r>
    </w:p>
    <w:p w14:paraId="72666C53" w14:textId="7071AB44" w:rsidR="00F03D74" w:rsidRPr="00613DE5" w:rsidRDefault="00F03D74" w:rsidP="006150DE">
      <w:pPr>
        <w:spacing w:after="0" w:line="360" w:lineRule="auto"/>
        <w:jc w:val="both"/>
        <w:rPr>
          <w:rFonts w:ascii="Arial" w:eastAsia="Arial" w:hAnsi="Arial" w:cs="Arial"/>
          <w:sz w:val="20"/>
          <w:szCs w:val="20"/>
        </w:rPr>
      </w:pPr>
      <w:r w:rsidRPr="00613DE5">
        <w:rPr>
          <w:rFonts w:ascii="Arial" w:eastAsia="Arial" w:hAnsi="Arial" w:cs="Arial"/>
          <w:sz w:val="20"/>
          <w:szCs w:val="20"/>
        </w:rPr>
        <w:t xml:space="preserve">Tilskudsfinansierede aktiviteter eksklusive anlægsdonationer efter 1. kvartal er 639,3 mio. kr., hvilket er 30,1 mio. kr. lavere end budgettet på 669,4 mio. kr.; svarende til 4,5 pct. For hele året er prognosen 2.721,9 mio. kr., hvilket er 22,9 mio. kr. lavere end budgettet på 2.744,8 mio. kr.; svarende til 0,8 pct. Der er for året budgetteret med stigende aktiviteter på 10,9 pct. i forhold til 2024, og efter 1. kvartal er der realiseret en stigning på 14,1 pct. i forhold til 2024. </w:t>
      </w:r>
    </w:p>
    <w:p w14:paraId="5E569B75" w14:textId="77777777" w:rsidR="00F03D74" w:rsidRPr="00613DE5" w:rsidRDefault="00F03D74" w:rsidP="006150DE">
      <w:pPr>
        <w:spacing w:after="0" w:line="360" w:lineRule="auto"/>
        <w:jc w:val="both"/>
        <w:rPr>
          <w:rFonts w:ascii="Arial" w:eastAsia="Arial" w:hAnsi="Arial" w:cs="Arial"/>
          <w:sz w:val="20"/>
          <w:szCs w:val="20"/>
        </w:rPr>
      </w:pPr>
    </w:p>
    <w:p w14:paraId="1CDA46CF" w14:textId="77777777" w:rsidR="00613DE5" w:rsidRDefault="00F03D74" w:rsidP="006150DE">
      <w:pPr>
        <w:spacing w:after="0" w:line="360" w:lineRule="auto"/>
        <w:jc w:val="both"/>
        <w:rPr>
          <w:rFonts w:ascii="Arial" w:eastAsia="Arial" w:hAnsi="Arial" w:cs="Arial"/>
          <w:sz w:val="20"/>
          <w:szCs w:val="20"/>
        </w:rPr>
      </w:pPr>
      <w:r w:rsidRPr="00613DE5">
        <w:rPr>
          <w:rFonts w:ascii="Arial" w:eastAsia="Arial" w:hAnsi="Arial" w:cs="Arial"/>
          <w:sz w:val="20"/>
          <w:szCs w:val="20"/>
        </w:rPr>
        <w:t>Efter 1. kvartal har den lavere aktivitet og den lavere realiserede overhead på Tilskudsfinansierede aktiviteter en samlet negativ resultateffekt i forhold til budgettet på 11,1 mio. kr. For hele året forventes der en lavere aktivitet end budgetteret med en negativ resultateffekt på 7,6 mio. kr. til følge og en højere overheadprocent end budgetteret med en positiv resultateffekt 19,7 mio. kr. til følge, hvilket samlet medfører en forventet positiv resultateffekt på 12,1 mio. kr.</w:t>
      </w:r>
      <w:r w:rsidR="00613DE5">
        <w:rPr>
          <w:rFonts w:ascii="Arial" w:eastAsia="Arial" w:hAnsi="Arial" w:cs="Arial"/>
          <w:sz w:val="20"/>
          <w:szCs w:val="20"/>
        </w:rPr>
        <w:t xml:space="preserve"> </w:t>
      </w:r>
    </w:p>
    <w:p w14:paraId="7E256F7E" w14:textId="77777777" w:rsidR="00613DE5" w:rsidRDefault="00613DE5" w:rsidP="006150DE">
      <w:pPr>
        <w:spacing w:after="0" w:line="360" w:lineRule="auto"/>
        <w:jc w:val="both"/>
        <w:rPr>
          <w:rFonts w:ascii="Arial" w:eastAsia="Arial" w:hAnsi="Arial" w:cs="Arial"/>
          <w:sz w:val="20"/>
          <w:szCs w:val="20"/>
        </w:rPr>
      </w:pPr>
    </w:p>
    <w:p w14:paraId="6645B1A9" w14:textId="77777777" w:rsidR="00613DE5" w:rsidRDefault="00613DE5" w:rsidP="006150DE">
      <w:pPr>
        <w:spacing w:after="0" w:line="360" w:lineRule="auto"/>
        <w:jc w:val="both"/>
        <w:rPr>
          <w:rFonts w:ascii="Arial" w:eastAsia="Arial" w:hAnsi="Arial" w:cs="Arial"/>
          <w:sz w:val="20"/>
          <w:szCs w:val="20"/>
        </w:rPr>
      </w:pPr>
      <w:r w:rsidRPr="00613DE5">
        <w:rPr>
          <w:rFonts w:ascii="Arial" w:eastAsia="Arial" w:hAnsi="Arial" w:cs="Arial"/>
          <w:i/>
          <w:iCs/>
          <w:sz w:val="20"/>
          <w:szCs w:val="20"/>
        </w:rPr>
        <w:t>Anlægsdonationer</w:t>
      </w:r>
    </w:p>
    <w:p w14:paraId="46F14099" w14:textId="72349504" w:rsidR="00F03D74" w:rsidRPr="00613DE5" w:rsidRDefault="00F03D74" w:rsidP="006150DE">
      <w:pPr>
        <w:spacing w:after="0" w:line="360" w:lineRule="auto"/>
        <w:jc w:val="both"/>
        <w:rPr>
          <w:rFonts w:ascii="Arial" w:eastAsia="Arial" w:hAnsi="Arial" w:cs="Arial"/>
          <w:sz w:val="20"/>
          <w:szCs w:val="20"/>
        </w:rPr>
      </w:pPr>
      <w:r w:rsidRPr="00613DE5">
        <w:rPr>
          <w:rFonts w:ascii="Arial" w:eastAsia="Arial" w:hAnsi="Arial" w:cs="Arial"/>
          <w:sz w:val="20"/>
          <w:szCs w:val="20"/>
        </w:rPr>
        <w:t>Anlægsdonationer efter 1. kvartal er 22,7 mio. kr., hvilket er 0,7 mio. kr. lavere end budgettet på 23,4 mio. kr. For hele året er prognosen 91,2 mio. kr., hvilket er 2,2 mio. kr. lavere end budgettet.</w:t>
      </w:r>
    </w:p>
    <w:p w14:paraId="77BB5FC5" w14:textId="77777777" w:rsidR="00613DE5" w:rsidRDefault="00613DE5" w:rsidP="006150DE">
      <w:pPr>
        <w:spacing w:after="0" w:line="360" w:lineRule="auto"/>
        <w:jc w:val="both"/>
        <w:rPr>
          <w:rFonts w:ascii="Arial" w:hAnsi="Arial" w:cs="Arial"/>
          <w:i/>
          <w:iCs/>
          <w:sz w:val="20"/>
          <w:szCs w:val="20"/>
        </w:rPr>
      </w:pPr>
    </w:p>
    <w:p w14:paraId="2DC442D2" w14:textId="1ABDA04D" w:rsidR="00613DE5" w:rsidRDefault="00613DE5" w:rsidP="006150DE">
      <w:pPr>
        <w:spacing w:after="0" w:line="360" w:lineRule="auto"/>
        <w:jc w:val="both"/>
        <w:rPr>
          <w:rFonts w:ascii="Arial" w:hAnsi="Arial" w:cs="Arial"/>
          <w:i/>
          <w:iCs/>
          <w:sz w:val="20"/>
          <w:szCs w:val="20"/>
        </w:rPr>
      </w:pPr>
      <w:r w:rsidRPr="00613DE5">
        <w:rPr>
          <w:rFonts w:ascii="Arial" w:hAnsi="Arial" w:cs="Arial"/>
          <w:i/>
          <w:iCs/>
          <w:sz w:val="20"/>
          <w:szCs w:val="20"/>
        </w:rPr>
        <w:t>Kommerciel indtægtsdækket virksomhed</w:t>
      </w:r>
    </w:p>
    <w:p w14:paraId="30481463" w14:textId="5D444CA7" w:rsidR="00F03D74" w:rsidRPr="00613DE5" w:rsidRDefault="00F03D74" w:rsidP="006150DE">
      <w:pPr>
        <w:spacing w:after="0" w:line="360" w:lineRule="auto"/>
        <w:jc w:val="both"/>
        <w:rPr>
          <w:rFonts w:ascii="Arial" w:eastAsia="Arial" w:hAnsi="Arial" w:cs="Arial"/>
          <w:sz w:val="20"/>
          <w:szCs w:val="20"/>
        </w:rPr>
      </w:pPr>
      <w:r w:rsidRPr="00613DE5">
        <w:rPr>
          <w:rFonts w:ascii="Arial" w:hAnsi="Arial" w:cs="Arial"/>
          <w:sz w:val="20"/>
          <w:szCs w:val="20"/>
        </w:rPr>
        <w:t>Kommerciel indtægtsdækket virksomhed</w:t>
      </w:r>
      <w:r w:rsidRPr="00613DE5">
        <w:rPr>
          <w:rFonts w:ascii="Arial" w:eastAsia="Arial" w:hAnsi="Arial" w:cs="Arial"/>
          <w:i/>
          <w:iCs/>
          <w:sz w:val="20"/>
          <w:szCs w:val="20"/>
        </w:rPr>
        <w:t xml:space="preserve"> </w:t>
      </w:r>
      <w:r w:rsidRPr="00613DE5">
        <w:rPr>
          <w:rFonts w:ascii="Arial" w:eastAsia="Arial" w:hAnsi="Arial" w:cs="Arial"/>
          <w:sz w:val="20"/>
          <w:szCs w:val="20"/>
        </w:rPr>
        <w:t xml:space="preserve">efter 1. kvartal er 89,5 mio. kr., hvilket er 6,8 mio. kr. lavere end budgettet på 96,3 mio. kr.; svarende til 7,1 pct. For hele året er prognosen 394,5 mio. kr., hvilket er 9,3 mio. kr. lavere end budgettet på 403,8 mio. kr.; svarende til 2,3 pct. Der er for året budgetteret med en stigning på 8,3 pct. i forhold til 2024, og efter 1. kvartal er der realiseret en stigning på 13,9 pct. i forhold til 2024. Den lavere aktivitet for hele året i forhold til budgettet skyldes primært, at budgetteret kommerciel aktivitet på enkelte enheder ikke forventes realiseret. </w:t>
      </w:r>
    </w:p>
    <w:p w14:paraId="0A128C4C" w14:textId="77777777" w:rsidR="00613DE5" w:rsidRDefault="00613DE5" w:rsidP="006150DE">
      <w:pPr>
        <w:spacing w:after="0" w:line="360" w:lineRule="auto"/>
        <w:jc w:val="both"/>
        <w:rPr>
          <w:rFonts w:ascii="Arial" w:eastAsia="Arial" w:hAnsi="Arial" w:cs="Arial"/>
          <w:i/>
          <w:sz w:val="20"/>
          <w:szCs w:val="20"/>
        </w:rPr>
      </w:pPr>
      <w:bookmarkStart w:id="2" w:name="_Hlk181107872"/>
    </w:p>
    <w:p w14:paraId="01F1885E" w14:textId="7C05EAED" w:rsidR="00613DE5" w:rsidRDefault="00613DE5" w:rsidP="006150DE">
      <w:pPr>
        <w:spacing w:after="0" w:line="360" w:lineRule="auto"/>
        <w:jc w:val="both"/>
        <w:rPr>
          <w:rFonts w:ascii="Arial" w:eastAsia="Arial" w:hAnsi="Arial" w:cs="Arial"/>
          <w:i/>
          <w:sz w:val="20"/>
          <w:szCs w:val="20"/>
        </w:rPr>
      </w:pPr>
      <w:r w:rsidRPr="00613DE5">
        <w:rPr>
          <w:rFonts w:ascii="Arial" w:eastAsia="Arial" w:hAnsi="Arial" w:cs="Arial"/>
          <w:i/>
          <w:sz w:val="20"/>
          <w:szCs w:val="20"/>
        </w:rPr>
        <w:t>Huslejeindtægter</w:t>
      </w:r>
    </w:p>
    <w:p w14:paraId="5842D588" w14:textId="448D27E4" w:rsidR="00F03D74" w:rsidRPr="00613DE5" w:rsidRDefault="00F03D74" w:rsidP="006150DE">
      <w:pPr>
        <w:spacing w:after="0" w:line="360" w:lineRule="auto"/>
        <w:jc w:val="both"/>
        <w:rPr>
          <w:rFonts w:ascii="Arial" w:eastAsia="Arial" w:hAnsi="Arial" w:cs="Arial"/>
          <w:i/>
          <w:sz w:val="20"/>
          <w:szCs w:val="20"/>
        </w:rPr>
      </w:pPr>
      <w:r w:rsidRPr="00613DE5">
        <w:rPr>
          <w:rFonts w:ascii="Arial" w:eastAsia="Arial" w:hAnsi="Arial" w:cs="Arial"/>
          <w:i/>
          <w:sz w:val="20"/>
          <w:szCs w:val="20"/>
        </w:rPr>
        <w:t xml:space="preserve">Huslejeindtægter </w:t>
      </w:r>
      <w:r w:rsidRPr="00613DE5">
        <w:rPr>
          <w:rFonts w:ascii="Arial" w:eastAsia="Arial" w:hAnsi="Arial" w:cs="Arial"/>
          <w:sz w:val="20"/>
          <w:szCs w:val="20"/>
        </w:rPr>
        <w:t xml:space="preserve">efter 1. kvartal er 12,2 mio. kr., hvilket er 3,2 mio. kr. højere end budgettet på 9,0 mio. kr. For hele året er prognosen 39,9 mio. kr., hvilket er 3,7 mio. kr. højere end budgettet på 36,2 mio. kr. Begge skyldes </w:t>
      </w:r>
      <w:bookmarkEnd w:id="2"/>
      <w:r w:rsidRPr="00613DE5">
        <w:rPr>
          <w:rFonts w:ascii="Arial" w:eastAsia="Arial" w:hAnsi="Arial" w:cs="Arial"/>
          <w:sz w:val="20"/>
          <w:szCs w:val="20"/>
        </w:rPr>
        <w:t xml:space="preserve">primært, at der har været en efterfakturering fra tidligere år af forsyningsindtægter fra </w:t>
      </w:r>
      <w:r w:rsidR="00DF2393">
        <w:rPr>
          <w:rFonts w:ascii="Arial" w:eastAsia="Arial" w:hAnsi="Arial" w:cs="Arial"/>
          <w:sz w:val="20"/>
          <w:szCs w:val="20"/>
        </w:rPr>
        <w:t>Aa</w:t>
      </w:r>
      <w:r w:rsidRPr="00613DE5">
        <w:rPr>
          <w:rFonts w:ascii="Arial" w:eastAsia="Arial" w:hAnsi="Arial" w:cs="Arial"/>
          <w:sz w:val="20"/>
          <w:szCs w:val="20"/>
        </w:rPr>
        <w:t>rhus Universitets lejemål på Risø. Desuden er der forventet en højere husleje for DTU Science Park, Dansk Dekommisionering og Data Management Software Center (DMSC), end der er budgetteret.</w:t>
      </w:r>
    </w:p>
    <w:p w14:paraId="3E6C5F2B" w14:textId="77777777" w:rsidR="00613DE5" w:rsidRDefault="00613DE5" w:rsidP="006150DE">
      <w:pPr>
        <w:spacing w:after="0" w:line="360" w:lineRule="auto"/>
        <w:jc w:val="both"/>
        <w:rPr>
          <w:rFonts w:ascii="Arial" w:eastAsia="Arial" w:hAnsi="Arial" w:cs="Arial"/>
          <w:i/>
          <w:sz w:val="20"/>
          <w:szCs w:val="20"/>
        </w:rPr>
      </w:pPr>
    </w:p>
    <w:p w14:paraId="1706ABC2" w14:textId="37010D6A" w:rsidR="00F03D74" w:rsidRPr="00613DE5" w:rsidRDefault="00613DE5" w:rsidP="006150DE">
      <w:pPr>
        <w:spacing w:after="0" w:line="360" w:lineRule="auto"/>
        <w:jc w:val="both"/>
        <w:rPr>
          <w:rFonts w:ascii="Arial" w:eastAsia="Arial" w:hAnsi="Arial" w:cs="Arial"/>
          <w:sz w:val="20"/>
          <w:szCs w:val="20"/>
        </w:rPr>
      </w:pPr>
      <w:r w:rsidRPr="00613DE5">
        <w:rPr>
          <w:rFonts w:ascii="Arial" w:eastAsia="Arial" w:hAnsi="Arial" w:cs="Arial"/>
          <w:i/>
          <w:sz w:val="20"/>
          <w:szCs w:val="20"/>
        </w:rPr>
        <w:t>Øvrige indtægter</w:t>
      </w:r>
    </w:p>
    <w:p w14:paraId="75F7F3C9" w14:textId="48D70B64" w:rsidR="00F03D74" w:rsidRPr="00613DE5" w:rsidRDefault="00F03D74" w:rsidP="006150DE">
      <w:pPr>
        <w:spacing w:after="0" w:line="360" w:lineRule="auto"/>
        <w:jc w:val="both"/>
        <w:rPr>
          <w:rFonts w:ascii="Arial" w:eastAsia="Arial" w:hAnsi="Arial" w:cs="Arial"/>
          <w:sz w:val="20"/>
          <w:szCs w:val="20"/>
        </w:rPr>
      </w:pPr>
      <w:r w:rsidRPr="00613DE5">
        <w:rPr>
          <w:rFonts w:ascii="Arial" w:eastAsia="Arial" w:hAnsi="Arial" w:cs="Arial"/>
          <w:iCs/>
          <w:sz w:val="20"/>
          <w:szCs w:val="20"/>
        </w:rPr>
        <w:t>Øvrige indtægter efter</w:t>
      </w:r>
      <w:r w:rsidRPr="00613DE5">
        <w:rPr>
          <w:rFonts w:ascii="Arial" w:eastAsia="Arial" w:hAnsi="Arial" w:cs="Arial"/>
          <w:sz w:val="20"/>
          <w:szCs w:val="20"/>
        </w:rPr>
        <w:t xml:space="preserve"> 1. kvartal er 118,2 mio. kr., hvilket er 48,0 mio. kr. lavere end budgettet på 166,2 mio. kr. Dette skyldes primært forskydninger i aktiviteter forbundet med High Performance Computing </w:t>
      </w:r>
      <w:r w:rsidRPr="00613DE5">
        <w:rPr>
          <w:rFonts w:ascii="Arial" w:eastAsia="Arial" w:hAnsi="Arial" w:cs="Arial"/>
          <w:sz w:val="20"/>
          <w:szCs w:val="20"/>
        </w:rPr>
        <w:lastRenderedPageBreak/>
        <w:t>og Nyt SIS (studieadministrativt system). For hele året er prognosen 680,0 mio. kr., hvilket er 14,3 mio. kr. højere end budgettet på 665,7 mio. kr.</w:t>
      </w:r>
      <w:r w:rsidRPr="00613DE5">
        <w:rPr>
          <w:rFonts w:ascii="Arial" w:eastAsia="Arial" w:hAnsi="Arial" w:cs="Arial"/>
          <w:sz w:val="20"/>
          <w:szCs w:val="20"/>
          <w:highlight w:val="yellow"/>
        </w:rPr>
        <w:t xml:space="preserve"> </w:t>
      </w:r>
    </w:p>
    <w:p w14:paraId="44505CB5" w14:textId="77777777" w:rsidR="00F03D74" w:rsidRPr="00613DE5" w:rsidRDefault="00F03D74" w:rsidP="006150DE">
      <w:pPr>
        <w:spacing w:after="0" w:line="360" w:lineRule="auto"/>
        <w:jc w:val="both"/>
        <w:rPr>
          <w:rFonts w:ascii="Arial" w:eastAsia="Arial" w:hAnsi="Arial" w:cs="Arial"/>
          <w:sz w:val="20"/>
          <w:szCs w:val="20"/>
        </w:rPr>
      </w:pPr>
      <w:r w:rsidRPr="00613DE5">
        <w:rPr>
          <w:rFonts w:ascii="Arial" w:eastAsia="Arial" w:hAnsi="Arial" w:cs="Arial"/>
          <w:sz w:val="20"/>
          <w:szCs w:val="20"/>
        </w:rPr>
        <w:t xml:space="preserve">Det forventes, at de realiserede afvigelser indhentes i den resterende del af året, og dertil kommer, at der forventes mindre stigninger inden for sundheds- og uddannelsesaktiviteter. </w:t>
      </w:r>
    </w:p>
    <w:p w14:paraId="44760DDD" w14:textId="77777777" w:rsidR="006150DE" w:rsidRDefault="006150DE" w:rsidP="006150DE">
      <w:pPr>
        <w:spacing w:after="0" w:line="360" w:lineRule="auto"/>
        <w:jc w:val="both"/>
        <w:rPr>
          <w:rFonts w:ascii="Arial" w:eastAsia="Arial" w:hAnsi="Arial" w:cs="Arial"/>
          <w:b/>
          <w:sz w:val="20"/>
          <w:szCs w:val="20"/>
        </w:rPr>
      </w:pPr>
    </w:p>
    <w:p w14:paraId="699B3689" w14:textId="6531D99B" w:rsidR="00613DE5" w:rsidRDefault="00F03D74" w:rsidP="006150DE">
      <w:pPr>
        <w:spacing w:after="0" w:line="360" w:lineRule="auto"/>
        <w:jc w:val="both"/>
        <w:rPr>
          <w:rFonts w:ascii="Arial" w:eastAsia="Arial" w:hAnsi="Arial" w:cs="Arial"/>
          <w:sz w:val="20"/>
          <w:szCs w:val="20"/>
        </w:rPr>
      </w:pPr>
      <w:r w:rsidRPr="00613DE5">
        <w:rPr>
          <w:rFonts w:ascii="Arial" w:eastAsia="Arial" w:hAnsi="Arial" w:cs="Arial"/>
          <w:b/>
          <w:sz w:val="20"/>
          <w:szCs w:val="20"/>
        </w:rPr>
        <w:t>Omkostninger</w:t>
      </w:r>
      <w:r w:rsidR="00613DE5">
        <w:rPr>
          <w:rFonts w:ascii="Arial" w:eastAsia="Arial" w:hAnsi="Arial" w:cs="Arial"/>
          <w:sz w:val="20"/>
          <w:szCs w:val="20"/>
        </w:rPr>
        <w:br/>
      </w:r>
      <w:r w:rsidRPr="00613DE5">
        <w:rPr>
          <w:rFonts w:ascii="Arial" w:eastAsia="Arial" w:hAnsi="Arial" w:cs="Arial"/>
          <w:sz w:val="20"/>
          <w:szCs w:val="20"/>
        </w:rPr>
        <w:t>De samlede omkostninger (ekskl. bygningsdrift) efter 1. kvartal er 1.266,8 mio. kr., hvilket er 78,2 mio. kr. lavere end budgettet på 1.345,0 mio. kr. og skyldes primært lavere løn- og driftsomkostninger Ordinær drift samt lavere løn- og driftsomkostninger Tilskudsfinansieret aktivitet. For hele året forventes de totale omkostninger at være 5.603,8 mio. kr., hvilket er 1,2 mio. kr. lavere end budgettet på 5.605,0 mio. kr. og skyldes primært højere forventede lønomkostninger for både Ordinær drift og Tilskudsfinansierede aktiviteter samt højere end forventede driftsomkostninger Ordinær drift og modsatrettet lavere forventede driftsomkostninger Tilskudsfinansierede aktiviteter.</w:t>
      </w:r>
    </w:p>
    <w:p w14:paraId="049BB9C1" w14:textId="77777777" w:rsidR="006150DE" w:rsidRDefault="006150DE" w:rsidP="006150DE">
      <w:pPr>
        <w:spacing w:after="0" w:line="360" w:lineRule="auto"/>
        <w:jc w:val="both"/>
        <w:rPr>
          <w:rFonts w:ascii="Arial" w:eastAsia="Arial" w:hAnsi="Arial" w:cs="Arial"/>
          <w:i/>
          <w:iCs/>
          <w:sz w:val="20"/>
          <w:szCs w:val="20"/>
        </w:rPr>
      </w:pPr>
    </w:p>
    <w:p w14:paraId="4E85507C" w14:textId="60A71349" w:rsidR="006150DE" w:rsidRDefault="00613DE5" w:rsidP="006150DE">
      <w:pPr>
        <w:spacing w:after="0" w:line="360" w:lineRule="auto"/>
        <w:jc w:val="both"/>
        <w:rPr>
          <w:rFonts w:ascii="Arial" w:eastAsia="Arial" w:hAnsi="Arial" w:cs="Arial"/>
          <w:i/>
          <w:iCs/>
          <w:sz w:val="20"/>
          <w:szCs w:val="20"/>
        </w:rPr>
      </w:pPr>
      <w:r w:rsidRPr="00613DE5">
        <w:rPr>
          <w:rFonts w:ascii="Arial" w:eastAsia="Arial" w:hAnsi="Arial" w:cs="Arial"/>
          <w:i/>
          <w:iCs/>
          <w:sz w:val="20"/>
          <w:szCs w:val="20"/>
        </w:rPr>
        <w:t>Løn ordinær drift</w:t>
      </w:r>
    </w:p>
    <w:p w14:paraId="30EDDA5F" w14:textId="6B6D7179" w:rsidR="00F03D74" w:rsidRPr="00613DE5" w:rsidRDefault="00F03D74" w:rsidP="006150DE">
      <w:pPr>
        <w:spacing w:after="0" w:line="360" w:lineRule="auto"/>
        <w:jc w:val="both"/>
        <w:rPr>
          <w:rFonts w:ascii="Arial" w:eastAsia="Arial" w:hAnsi="Arial" w:cs="Arial"/>
          <w:sz w:val="20"/>
          <w:szCs w:val="20"/>
        </w:rPr>
      </w:pPr>
      <w:r w:rsidRPr="00613DE5">
        <w:rPr>
          <w:rFonts w:ascii="Arial" w:eastAsia="Arial" w:hAnsi="Arial" w:cs="Arial"/>
          <w:sz w:val="20"/>
          <w:szCs w:val="20"/>
        </w:rPr>
        <w:t>Løn ordinær drift efter 1. kvartal er 512,0 mio. kr. hvilket er 19,3 mio. kr. lavere end budgettet på 531,3 mio. kr.</w:t>
      </w:r>
      <w:r w:rsidRPr="00613DE5">
        <w:rPr>
          <w:rFonts w:ascii="Arial" w:hAnsi="Arial" w:cs="Arial"/>
          <w:sz w:val="20"/>
          <w:szCs w:val="20"/>
        </w:rPr>
        <w:t xml:space="preserve"> som følge af udskudte ansættelser</w:t>
      </w:r>
      <w:r w:rsidRPr="00613DE5">
        <w:rPr>
          <w:rFonts w:ascii="Arial" w:eastAsia="Arial" w:hAnsi="Arial" w:cs="Arial"/>
          <w:sz w:val="20"/>
          <w:szCs w:val="20"/>
        </w:rPr>
        <w:t xml:space="preserve">. For hele året forventes de totale lønomkostninger at være 2.241,8 mio. kr., hvilket er 5,6 mio. kr. højere end budgettet på 2.236,2 mio. kr. som følge af tildelte strategiske puljer fra finansloven og medfinansiering af Tilskudsfinansieret aktivitet. Modsatrettet forventes der lavere lønomkostninger på ca. 11 mio. kr. som følge af den lavere lønreguleringsprocent, som korrigerer for forskelle i lønudviklingen imellem det private og offentlige arbejdsmarked. </w:t>
      </w:r>
    </w:p>
    <w:p w14:paraId="2EEC1493" w14:textId="77777777" w:rsidR="00613DE5" w:rsidRDefault="00613DE5" w:rsidP="006150DE">
      <w:pPr>
        <w:spacing w:after="0" w:line="360" w:lineRule="auto"/>
        <w:jc w:val="both"/>
        <w:rPr>
          <w:rFonts w:ascii="Arial" w:eastAsia="Arial" w:hAnsi="Arial" w:cs="Arial"/>
          <w:i/>
          <w:iCs/>
          <w:sz w:val="20"/>
          <w:szCs w:val="20"/>
        </w:rPr>
      </w:pPr>
    </w:p>
    <w:p w14:paraId="2FDF4E1F" w14:textId="43B91875" w:rsidR="00F03D74" w:rsidRPr="00613DE5" w:rsidRDefault="00613DE5" w:rsidP="006150DE">
      <w:pPr>
        <w:spacing w:after="0" w:line="360" w:lineRule="auto"/>
        <w:jc w:val="both"/>
        <w:rPr>
          <w:rFonts w:ascii="Arial" w:hAnsi="Arial" w:cs="Arial"/>
          <w:sz w:val="20"/>
          <w:szCs w:val="20"/>
          <w:highlight w:val="yellow"/>
        </w:rPr>
      </w:pPr>
      <w:r w:rsidRPr="00613DE5">
        <w:rPr>
          <w:rFonts w:ascii="Arial" w:eastAsia="Arial" w:hAnsi="Arial" w:cs="Arial"/>
          <w:i/>
          <w:iCs/>
          <w:sz w:val="20"/>
          <w:szCs w:val="20"/>
        </w:rPr>
        <w:t>Omkostninger ordinær drift</w:t>
      </w:r>
    </w:p>
    <w:p w14:paraId="24C4CC69" w14:textId="60C34EF2" w:rsidR="00F03D74" w:rsidRDefault="00F03D74" w:rsidP="006150DE">
      <w:pPr>
        <w:spacing w:after="0" w:line="360" w:lineRule="auto"/>
        <w:jc w:val="both"/>
        <w:rPr>
          <w:rFonts w:ascii="Arial" w:eastAsia="Arial" w:hAnsi="Arial" w:cs="Arial"/>
          <w:sz w:val="20"/>
          <w:szCs w:val="20"/>
        </w:rPr>
      </w:pPr>
      <w:r w:rsidRPr="00613DE5">
        <w:rPr>
          <w:rFonts w:ascii="Arial" w:eastAsia="Arial" w:hAnsi="Arial" w:cs="Arial"/>
          <w:sz w:val="20"/>
          <w:szCs w:val="20"/>
        </w:rPr>
        <w:t>Omkostninger ordinær drift efter 1. kvartal er 169,2 mio. kr., hvilket er 36,6 mio. kr. lavere end budgettet på 205,8 mio. kr. og skyldes primært udviklingen hos de indlejrede enheder DeIC og ØSS samt en langsommere end budgetteret fremdrift på Nyt SIS (studieadministrativt system). For hele året forventes de totale omkostninger at være 903,9 mio. kr., hvilket er 32,3 mio. kr. højere end budgettet på 871,6 mio. kr.</w:t>
      </w:r>
      <w:r w:rsidRPr="00613DE5">
        <w:rPr>
          <w:rFonts w:ascii="Arial" w:hAnsi="Arial" w:cs="Arial"/>
          <w:sz w:val="20"/>
          <w:szCs w:val="20"/>
        </w:rPr>
        <w:t xml:space="preserve"> </w:t>
      </w:r>
      <w:r w:rsidRPr="00613DE5">
        <w:rPr>
          <w:rFonts w:ascii="Arial" w:eastAsia="Arial" w:hAnsi="Arial" w:cs="Arial"/>
          <w:sz w:val="20"/>
          <w:szCs w:val="20"/>
        </w:rPr>
        <w:t xml:space="preserve"> og skyldes primært forskydning af en DeIC-bevilling (kvanteområdet) fra 2024 til 2025.</w:t>
      </w:r>
    </w:p>
    <w:p w14:paraId="7D3DDC25" w14:textId="77777777" w:rsidR="006150DE" w:rsidRPr="00613DE5" w:rsidRDefault="006150DE" w:rsidP="006150DE">
      <w:pPr>
        <w:spacing w:after="0" w:line="360" w:lineRule="auto"/>
        <w:jc w:val="both"/>
        <w:rPr>
          <w:rFonts w:ascii="Arial" w:eastAsia="Arial" w:hAnsi="Arial" w:cs="Arial"/>
          <w:sz w:val="20"/>
          <w:szCs w:val="20"/>
          <w:highlight w:val="yellow"/>
        </w:rPr>
      </w:pPr>
    </w:p>
    <w:p w14:paraId="57C3B834" w14:textId="77777777" w:rsidR="006150DE" w:rsidRDefault="00613DE5" w:rsidP="006150DE">
      <w:pPr>
        <w:spacing w:after="0" w:line="360" w:lineRule="auto"/>
        <w:jc w:val="both"/>
        <w:rPr>
          <w:rFonts w:ascii="Arial" w:eastAsia="Arial" w:hAnsi="Arial" w:cs="Arial"/>
          <w:sz w:val="20"/>
          <w:szCs w:val="20"/>
        </w:rPr>
      </w:pPr>
      <w:r w:rsidRPr="00613DE5">
        <w:rPr>
          <w:rFonts w:ascii="Arial" w:eastAsia="Arial" w:hAnsi="Arial" w:cs="Arial"/>
          <w:i/>
          <w:iCs/>
          <w:sz w:val="20"/>
          <w:szCs w:val="20"/>
        </w:rPr>
        <w:t>Løn- og driftsomkostninger til Kommerciel indtægtsdækket virksomhed</w:t>
      </w:r>
      <w:r w:rsidRPr="00613DE5">
        <w:rPr>
          <w:rFonts w:ascii="Arial" w:eastAsia="Arial" w:hAnsi="Arial" w:cs="Arial"/>
          <w:sz w:val="20"/>
          <w:szCs w:val="20"/>
        </w:rPr>
        <w:t xml:space="preserve"> </w:t>
      </w:r>
    </w:p>
    <w:p w14:paraId="2CE2A71F" w14:textId="0A7E820E" w:rsidR="00F03D74" w:rsidRPr="00613DE5" w:rsidRDefault="00F03D74" w:rsidP="006150DE">
      <w:pPr>
        <w:spacing w:after="0" w:line="360" w:lineRule="auto"/>
        <w:jc w:val="both"/>
        <w:rPr>
          <w:rFonts w:ascii="Arial" w:eastAsia="Arial" w:hAnsi="Arial" w:cs="Arial"/>
          <w:sz w:val="20"/>
          <w:szCs w:val="20"/>
        </w:rPr>
      </w:pPr>
      <w:r w:rsidRPr="00613DE5">
        <w:rPr>
          <w:rFonts w:ascii="Arial" w:eastAsia="Arial" w:hAnsi="Arial" w:cs="Arial"/>
          <w:sz w:val="20"/>
          <w:szCs w:val="20"/>
        </w:rPr>
        <w:t>Løn- og driftsomkostninger til Kommerciel indtægtsdækket virksomhed efter 1. kvartal er 52,8 mio. kr., hvilket er 3,3 mio. kr. lavere end budgettet på 56,1 mio. kr. For hele året forventes de totale omkostninger at være 222,3 mio. kr., hvilket er 4,2 mio. kr. lavere end budgettet på 226,5 mio. kr., hvilket afspejler den marginalt lavere forventede aktivitet.</w:t>
      </w:r>
    </w:p>
    <w:p w14:paraId="0E3214F9" w14:textId="77777777" w:rsidR="00F03D74" w:rsidRPr="00613DE5" w:rsidRDefault="00F03D74" w:rsidP="006150DE">
      <w:pPr>
        <w:spacing w:after="0" w:line="360" w:lineRule="auto"/>
        <w:jc w:val="both"/>
        <w:rPr>
          <w:rFonts w:ascii="Arial" w:hAnsi="Arial" w:cs="Arial"/>
          <w:sz w:val="20"/>
          <w:szCs w:val="20"/>
          <w:highlight w:val="yellow"/>
        </w:rPr>
      </w:pPr>
    </w:p>
    <w:p w14:paraId="4146E8EF" w14:textId="77777777" w:rsidR="006150DE" w:rsidRDefault="00613DE5" w:rsidP="006150DE">
      <w:pPr>
        <w:spacing w:after="0" w:line="360" w:lineRule="auto"/>
        <w:jc w:val="both"/>
        <w:rPr>
          <w:rFonts w:ascii="Arial" w:eastAsia="Arial" w:hAnsi="Arial" w:cs="Arial"/>
          <w:i/>
          <w:iCs/>
          <w:sz w:val="20"/>
          <w:szCs w:val="20"/>
        </w:rPr>
      </w:pPr>
      <w:r w:rsidRPr="00613DE5">
        <w:rPr>
          <w:rFonts w:ascii="Arial" w:eastAsia="Arial" w:hAnsi="Arial" w:cs="Arial"/>
          <w:i/>
          <w:iCs/>
          <w:sz w:val="20"/>
          <w:szCs w:val="20"/>
        </w:rPr>
        <w:t>Løn- og driftsomkostninger vedrørende Tilskudsfinansierede aktiviteter</w:t>
      </w:r>
    </w:p>
    <w:p w14:paraId="325B5D97" w14:textId="586301A6" w:rsidR="00F03D74" w:rsidRPr="00613DE5" w:rsidRDefault="00F03D74" w:rsidP="006150DE">
      <w:pPr>
        <w:spacing w:after="0" w:line="360" w:lineRule="auto"/>
        <w:jc w:val="both"/>
        <w:rPr>
          <w:rFonts w:ascii="Arial" w:eastAsia="Arial" w:hAnsi="Arial" w:cs="Arial"/>
          <w:sz w:val="20"/>
          <w:szCs w:val="20"/>
        </w:rPr>
      </w:pPr>
      <w:r w:rsidRPr="00613DE5">
        <w:rPr>
          <w:rFonts w:ascii="Arial" w:eastAsia="Arial" w:hAnsi="Arial" w:cs="Arial"/>
          <w:sz w:val="20"/>
          <w:szCs w:val="20"/>
        </w:rPr>
        <w:t>Løn- og driftsomkostninger vedrørende Tilskudsfinansierede aktiviteter efter 1. kvartal er 532,8 mio. kr., hvilket er 19,0 mio. kr. lavere end budgettet på 551,8 mio. kr. For hele året forventes de totale omkostninger at være 2.235,8 mio. kr., hvilket er 35,0 mio. kr. lavere end budgettet på 2.270,8 mio. kr. og afspejler de marginalt lavere forventede aktiviteter.</w:t>
      </w:r>
    </w:p>
    <w:p w14:paraId="3A82D4E3" w14:textId="77777777" w:rsidR="00613DE5" w:rsidRDefault="00613DE5" w:rsidP="00F03D74">
      <w:pPr>
        <w:spacing w:after="0" w:line="360" w:lineRule="auto"/>
        <w:rPr>
          <w:rFonts w:ascii="Arial" w:eastAsia="Arial" w:hAnsi="Arial" w:cs="Arial"/>
          <w:i/>
          <w:sz w:val="20"/>
          <w:szCs w:val="20"/>
        </w:rPr>
      </w:pPr>
    </w:p>
    <w:p w14:paraId="7622281E" w14:textId="3BA816E3" w:rsidR="00F03D74" w:rsidRPr="00613DE5" w:rsidRDefault="00613DE5" w:rsidP="006150DE">
      <w:pPr>
        <w:spacing w:after="0" w:line="360" w:lineRule="auto"/>
        <w:jc w:val="both"/>
        <w:rPr>
          <w:rFonts w:ascii="Arial" w:hAnsi="Arial" w:cs="Arial"/>
          <w:sz w:val="20"/>
          <w:szCs w:val="20"/>
          <w:highlight w:val="yellow"/>
        </w:rPr>
      </w:pPr>
      <w:r w:rsidRPr="00613DE5">
        <w:rPr>
          <w:rFonts w:ascii="Arial" w:eastAsia="Arial" w:hAnsi="Arial" w:cs="Arial"/>
          <w:i/>
          <w:sz w:val="20"/>
          <w:szCs w:val="20"/>
        </w:rPr>
        <w:t>Lønomkostninger til Bygningsdrift</w:t>
      </w:r>
    </w:p>
    <w:p w14:paraId="176A04EE" w14:textId="2F9011AB" w:rsidR="00F03D74" w:rsidRPr="00613DE5" w:rsidRDefault="00F03D74" w:rsidP="006150DE">
      <w:pPr>
        <w:spacing w:after="0" w:line="360" w:lineRule="auto"/>
        <w:jc w:val="both"/>
        <w:rPr>
          <w:rFonts w:ascii="Arial" w:eastAsia="Arial" w:hAnsi="Arial" w:cs="Arial"/>
          <w:sz w:val="20"/>
          <w:szCs w:val="20"/>
        </w:rPr>
      </w:pPr>
      <w:bookmarkStart w:id="3" w:name="_Hlk181107929"/>
      <w:r w:rsidRPr="00613DE5">
        <w:rPr>
          <w:rFonts w:ascii="Arial" w:eastAsia="Arial" w:hAnsi="Arial" w:cs="Arial"/>
          <w:iCs/>
          <w:sz w:val="20"/>
          <w:szCs w:val="20"/>
        </w:rPr>
        <w:t>Lønomkostninger til Bygningsdrift</w:t>
      </w:r>
      <w:r w:rsidRPr="00613DE5">
        <w:rPr>
          <w:rFonts w:ascii="Arial" w:eastAsia="Arial" w:hAnsi="Arial" w:cs="Arial"/>
          <w:sz w:val="20"/>
          <w:szCs w:val="20"/>
        </w:rPr>
        <w:t xml:space="preserve"> efter 1. kvartal er 28,4 mio. kr., hvilket er 1,0 mio. kr. højere end budgettet på 27,4 mio. kr. For hele året forventes de totale omkostninger at være 118,5 mio. kr., hvilket er 1,5 mio. kr. højere end budgettet på 117,0 mio. kr. som følge af nyansættelser relateret til aktivitetsstigninger på planlagte anlægsprojekter.</w:t>
      </w:r>
    </w:p>
    <w:p w14:paraId="0F0D9BF6" w14:textId="77777777" w:rsidR="006150DE" w:rsidRDefault="006150DE" w:rsidP="006150DE">
      <w:pPr>
        <w:spacing w:after="0" w:line="360" w:lineRule="auto"/>
        <w:jc w:val="both"/>
        <w:rPr>
          <w:rFonts w:ascii="Arial" w:eastAsia="Arial" w:hAnsi="Arial" w:cs="Arial"/>
          <w:i/>
          <w:sz w:val="20"/>
          <w:szCs w:val="20"/>
        </w:rPr>
      </w:pPr>
      <w:bookmarkStart w:id="4" w:name="_Hlk181107940"/>
      <w:bookmarkEnd w:id="3"/>
    </w:p>
    <w:p w14:paraId="716E88C1" w14:textId="51679D62" w:rsidR="006150DE" w:rsidRDefault="00613DE5" w:rsidP="006150DE">
      <w:pPr>
        <w:spacing w:after="0" w:line="360" w:lineRule="auto"/>
        <w:jc w:val="both"/>
        <w:rPr>
          <w:rFonts w:ascii="Arial" w:eastAsia="Arial" w:hAnsi="Arial" w:cs="Arial"/>
          <w:sz w:val="20"/>
          <w:szCs w:val="20"/>
        </w:rPr>
      </w:pPr>
      <w:r w:rsidRPr="00613DE5">
        <w:rPr>
          <w:rFonts w:ascii="Arial" w:eastAsia="Arial" w:hAnsi="Arial" w:cs="Arial"/>
          <w:i/>
          <w:sz w:val="20"/>
          <w:szCs w:val="20"/>
        </w:rPr>
        <w:t>Driftsomkostninger ordinær drift for Bygningsdrift</w:t>
      </w:r>
      <w:r w:rsidRPr="00613DE5">
        <w:rPr>
          <w:rFonts w:ascii="Arial" w:eastAsia="Arial" w:hAnsi="Arial" w:cs="Arial"/>
          <w:sz w:val="20"/>
          <w:szCs w:val="20"/>
        </w:rPr>
        <w:t xml:space="preserve"> </w:t>
      </w:r>
    </w:p>
    <w:p w14:paraId="594BE604" w14:textId="38813F56" w:rsidR="00F03D74" w:rsidRPr="00613DE5" w:rsidRDefault="00F03D74" w:rsidP="006150DE">
      <w:pPr>
        <w:spacing w:after="0" w:line="360" w:lineRule="auto"/>
        <w:jc w:val="both"/>
        <w:rPr>
          <w:rFonts w:ascii="Arial" w:eastAsia="Arial" w:hAnsi="Arial" w:cs="Arial"/>
          <w:sz w:val="20"/>
          <w:szCs w:val="20"/>
        </w:rPr>
      </w:pPr>
      <w:r w:rsidRPr="00613DE5">
        <w:rPr>
          <w:rFonts w:ascii="Arial" w:eastAsia="Arial" w:hAnsi="Arial" w:cs="Arial"/>
          <w:iCs/>
          <w:sz w:val="20"/>
          <w:szCs w:val="20"/>
        </w:rPr>
        <w:t>Driftsomkostninger ordinær drift for Bygningsdrift</w:t>
      </w:r>
      <w:r w:rsidRPr="00613DE5">
        <w:rPr>
          <w:rFonts w:ascii="Arial" w:eastAsia="Arial" w:hAnsi="Arial" w:cs="Arial"/>
          <w:sz w:val="20"/>
          <w:szCs w:val="20"/>
        </w:rPr>
        <w:t xml:space="preserve"> efter 1. kvartal er 110,5 mio. kr., hvilket er 3,6 mio. kr. lavere end budgettet på 114,1 mio. kr.</w:t>
      </w:r>
      <w:r w:rsidRPr="00613DE5">
        <w:rPr>
          <w:rFonts w:ascii="Arial" w:hAnsi="Arial" w:cs="Arial"/>
          <w:sz w:val="20"/>
          <w:szCs w:val="20"/>
        </w:rPr>
        <w:t xml:space="preserve"> </w:t>
      </w:r>
      <w:r w:rsidRPr="00613DE5">
        <w:rPr>
          <w:rFonts w:ascii="Arial" w:eastAsia="Arial" w:hAnsi="Arial" w:cs="Arial"/>
          <w:sz w:val="20"/>
          <w:szCs w:val="20"/>
        </w:rPr>
        <w:t>Dette skyldes besparelser på ejendomsskatter, der var konservativt budgetteret, da de nye vurderinger ikke var modtaget ved tidspunkt for budgetlægning.  For hele året forventes de totale omkostninger at være 481,8 mio. kr., hvilket er 12,3 mio. kr. lavere end budgettet på 494,1 mio. kr.</w:t>
      </w:r>
      <w:bookmarkEnd w:id="4"/>
      <w:r w:rsidRPr="00613DE5">
        <w:rPr>
          <w:rFonts w:ascii="Arial" w:eastAsia="Arial" w:hAnsi="Arial" w:cs="Arial"/>
          <w:sz w:val="20"/>
          <w:szCs w:val="20"/>
        </w:rPr>
        <w:t xml:space="preserve"> af samme årsag, samt en forventning om marginalt lavere elpriser end budgetteret.</w:t>
      </w:r>
    </w:p>
    <w:p w14:paraId="4FC41333" w14:textId="77777777" w:rsidR="00F03D74" w:rsidRPr="00613DE5" w:rsidRDefault="00F03D74" w:rsidP="006150DE">
      <w:pPr>
        <w:spacing w:after="0" w:line="360" w:lineRule="auto"/>
        <w:jc w:val="both"/>
        <w:rPr>
          <w:rFonts w:ascii="Arial" w:eastAsia="Arial" w:hAnsi="Arial" w:cs="Arial"/>
          <w:sz w:val="20"/>
          <w:szCs w:val="20"/>
        </w:rPr>
      </w:pPr>
    </w:p>
    <w:p w14:paraId="58D77CB6" w14:textId="77777777" w:rsidR="006150DE" w:rsidRDefault="00613DE5" w:rsidP="006150DE">
      <w:pPr>
        <w:spacing w:after="0" w:line="360" w:lineRule="auto"/>
        <w:jc w:val="both"/>
        <w:rPr>
          <w:rFonts w:ascii="Arial" w:eastAsia="Arial" w:hAnsi="Arial" w:cs="Arial"/>
          <w:sz w:val="20"/>
          <w:szCs w:val="20"/>
        </w:rPr>
      </w:pPr>
      <w:r w:rsidRPr="00613DE5">
        <w:rPr>
          <w:rFonts w:ascii="Arial" w:eastAsia="Arial" w:hAnsi="Arial" w:cs="Arial"/>
          <w:i/>
          <w:sz w:val="20"/>
          <w:szCs w:val="20"/>
        </w:rPr>
        <w:t>Driftsomkostninger kommerciel indtægtsdækket virksomhed for Bygningsdrift</w:t>
      </w:r>
      <w:r w:rsidRPr="00613DE5">
        <w:rPr>
          <w:rFonts w:ascii="Arial" w:eastAsia="Arial" w:hAnsi="Arial" w:cs="Arial"/>
          <w:sz w:val="20"/>
          <w:szCs w:val="20"/>
        </w:rPr>
        <w:t xml:space="preserve"> </w:t>
      </w:r>
    </w:p>
    <w:p w14:paraId="30216D03" w14:textId="5DD8298F" w:rsidR="00F03D74" w:rsidRPr="00613DE5" w:rsidRDefault="00F03D74" w:rsidP="006150DE">
      <w:pPr>
        <w:spacing w:after="0" w:line="360" w:lineRule="auto"/>
        <w:jc w:val="both"/>
        <w:rPr>
          <w:rFonts w:ascii="Arial" w:eastAsia="Arial" w:hAnsi="Arial" w:cs="Arial"/>
          <w:sz w:val="20"/>
          <w:szCs w:val="20"/>
          <w:highlight w:val="yellow"/>
        </w:rPr>
      </w:pPr>
      <w:r w:rsidRPr="00613DE5">
        <w:rPr>
          <w:rFonts w:ascii="Arial" w:eastAsia="Arial" w:hAnsi="Arial" w:cs="Arial"/>
          <w:iCs/>
          <w:sz w:val="20"/>
          <w:szCs w:val="20"/>
        </w:rPr>
        <w:t>Driftsomkostninger kommerciel indtægtsdækket virksomhed for Bygningsdrift</w:t>
      </w:r>
      <w:r w:rsidRPr="00613DE5">
        <w:rPr>
          <w:rFonts w:ascii="Arial" w:eastAsia="Arial" w:hAnsi="Arial" w:cs="Arial"/>
          <w:sz w:val="20"/>
          <w:szCs w:val="20"/>
        </w:rPr>
        <w:t xml:space="preserve"> efter 1. kvartal er 12,6 mio. kr., hvilket er 3,7 mio. kr. højere end budgettet på 8,9 mio. kr. og skyldes højere aktivitet på husleje-, forsynings- og kemibrugsområdet. For hele året forventes de totale omkostninger at være 45,3 mio. kr., hvilket er 4,0 mio. kr. højere end budgettet på 41,3 mio. kr. af samme årsager.</w:t>
      </w:r>
    </w:p>
    <w:p w14:paraId="6900B4BC" w14:textId="77777777" w:rsidR="006150DE" w:rsidRDefault="006150DE" w:rsidP="006150DE">
      <w:pPr>
        <w:spacing w:after="0" w:line="360" w:lineRule="auto"/>
        <w:jc w:val="both"/>
        <w:rPr>
          <w:rFonts w:ascii="Arial" w:eastAsia="Arial" w:hAnsi="Arial" w:cs="Arial"/>
          <w:i/>
          <w:iCs/>
          <w:sz w:val="20"/>
          <w:szCs w:val="20"/>
        </w:rPr>
      </w:pPr>
    </w:p>
    <w:p w14:paraId="5484D8E9" w14:textId="77777777" w:rsidR="006150DE" w:rsidRDefault="00613DE5" w:rsidP="006150DE">
      <w:pPr>
        <w:spacing w:after="0" w:line="360" w:lineRule="auto"/>
        <w:jc w:val="both"/>
        <w:rPr>
          <w:rFonts w:ascii="Arial" w:eastAsia="Arial" w:hAnsi="Arial" w:cs="Arial"/>
          <w:sz w:val="20"/>
          <w:szCs w:val="20"/>
        </w:rPr>
      </w:pPr>
      <w:r w:rsidRPr="00613DE5">
        <w:rPr>
          <w:rFonts w:ascii="Arial" w:eastAsia="Arial" w:hAnsi="Arial" w:cs="Arial"/>
          <w:i/>
          <w:iCs/>
          <w:sz w:val="20"/>
          <w:szCs w:val="20"/>
        </w:rPr>
        <w:t>Omkostningerne til af- og nedskrivninger af anlægsaktiver</w:t>
      </w:r>
      <w:r w:rsidRPr="00613DE5">
        <w:rPr>
          <w:rFonts w:ascii="Arial" w:eastAsia="Arial" w:hAnsi="Arial" w:cs="Arial"/>
          <w:sz w:val="20"/>
          <w:szCs w:val="20"/>
        </w:rPr>
        <w:t xml:space="preserve"> </w:t>
      </w:r>
    </w:p>
    <w:p w14:paraId="17C6C5F8" w14:textId="77777777" w:rsidR="006150DE" w:rsidRDefault="00F03D74" w:rsidP="006150DE">
      <w:pPr>
        <w:spacing w:after="0" w:line="360" w:lineRule="auto"/>
        <w:jc w:val="both"/>
        <w:rPr>
          <w:rFonts w:ascii="Arial" w:eastAsia="Arial" w:hAnsi="Arial" w:cs="Arial"/>
          <w:sz w:val="20"/>
          <w:szCs w:val="20"/>
        </w:rPr>
      </w:pPr>
      <w:r w:rsidRPr="00613DE5">
        <w:rPr>
          <w:rFonts w:ascii="Arial" w:eastAsia="Arial" w:hAnsi="Arial" w:cs="Arial"/>
          <w:sz w:val="20"/>
          <w:szCs w:val="20"/>
        </w:rPr>
        <w:t>Omkostningerne til af- og nedskrivninger af anlægsaktiver efter 1. kvartal er 160,7 mio. kr., hvilket er 3,6 mio. kr. højere end budgettet på 157,1 mio. kr. Stigningen skyldes overvejende fremskudte investeringer og aktiveringer i sidste kvartal 2024 samt 1. kvartal 2025, og er primært på IT hardware og produktionsudstyr. For hele året forventes de totale omkostninger at være 640,9 mio. kr., hvilket er 9,4 mio. kr. højere end budgettet på 631,5 mio. kr. af samme årsag. Afskrivninger på allerede aktiverede anlægsaktiver udgør 98,3 pct. af prognosen.</w:t>
      </w:r>
    </w:p>
    <w:p w14:paraId="0D827AF2" w14:textId="29575E3B" w:rsidR="00613DE5" w:rsidRPr="00613DE5" w:rsidRDefault="00613DE5" w:rsidP="006150DE">
      <w:pPr>
        <w:spacing w:after="0" w:line="360" w:lineRule="auto"/>
        <w:jc w:val="both"/>
        <w:rPr>
          <w:rFonts w:ascii="Arial" w:eastAsia="Arial" w:hAnsi="Arial" w:cs="Arial"/>
          <w:sz w:val="20"/>
          <w:szCs w:val="20"/>
          <w:highlight w:val="yellow"/>
        </w:rPr>
      </w:pPr>
      <w:r>
        <w:rPr>
          <w:rFonts w:ascii="Arial" w:eastAsia="Arial" w:hAnsi="Arial" w:cs="Arial"/>
          <w:sz w:val="20"/>
          <w:szCs w:val="20"/>
          <w:highlight w:val="yellow"/>
        </w:rPr>
        <w:br/>
      </w:r>
    </w:p>
    <w:p w14:paraId="741A1851" w14:textId="77777777" w:rsidR="006150DE" w:rsidRDefault="006150DE" w:rsidP="00F03D74">
      <w:pPr>
        <w:spacing w:line="360" w:lineRule="auto"/>
        <w:rPr>
          <w:rFonts w:ascii="Arial" w:eastAsia="Arial" w:hAnsi="Arial" w:cs="Arial"/>
          <w:b/>
          <w:sz w:val="20"/>
          <w:szCs w:val="20"/>
        </w:rPr>
      </w:pPr>
    </w:p>
    <w:p w14:paraId="0179EF01" w14:textId="77777777" w:rsidR="006150DE" w:rsidRDefault="006150DE" w:rsidP="00F03D74">
      <w:pPr>
        <w:spacing w:line="360" w:lineRule="auto"/>
        <w:rPr>
          <w:rFonts w:ascii="Arial" w:eastAsia="Arial" w:hAnsi="Arial" w:cs="Arial"/>
          <w:b/>
          <w:sz w:val="20"/>
          <w:szCs w:val="20"/>
        </w:rPr>
      </w:pPr>
    </w:p>
    <w:p w14:paraId="5343C80D" w14:textId="77777777" w:rsidR="006150DE" w:rsidRDefault="006150DE" w:rsidP="00F03D74">
      <w:pPr>
        <w:spacing w:line="360" w:lineRule="auto"/>
        <w:rPr>
          <w:rFonts w:ascii="Arial" w:eastAsia="Arial" w:hAnsi="Arial" w:cs="Arial"/>
          <w:b/>
          <w:sz w:val="20"/>
          <w:szCs w:val="20"/>
        </w:rPr>
      </w:pPr>
    </w:p>
    <w:p w14:paraId="43405A48" w14:textId="77777777" w:rsidR="006150DE" w:rsidRDefault="006150DE" w:rsidP="00F03D74">
      <w:pPr>
        <w:spacing w:line="360" w:lineRule="auto"/>
        <w:rPr>
          <w:rFonts w:ascii="Arial" w:eastAsia="Arial" w:hAnsi="Arial" w:cs="Arial"/>
          <w:b/>
          <w:sz w:val="20"/>
          <w:szCs w:val="20"/>
        </w:rPr>
      </w:pPr>
    </w:p>
    <w:p w14:paraId="683688DD" w14:textId="77777777" w:rsidR="006150DE" w:rsidRDefault="006150DE" w:rsidP="00F03D74">
      <w:pPr>
        <w:spacing w:line="360" w:lineRule="auto"/>
        <w:rPr>
          <w:rFonts w:ascii="Arial" w:eastAsia="Arial" w:hAnsi="Arial" w:cs="Arial"/>
          <w:b/>
          <w:sz w:val="20"/>
          <w:szCs w:val="20"/>
        </w:rPr>
      </w:pPr>
    </w:p>
    <w:p w14:paraId="1601DC53" w14:textId="77777777" w:rsidR="00BA5E9C" w:rsidRDefault="00BA5E9C" w:rsidP="00F03D74">
      <w:pPr>
        <w:spacing w:line="360" w:lineRule="auto"/>
        <w:rPr>
          <w:rFonts w:ascii="Arial" w:eastAsia="Arial" w:hAnsi="Arial" w:cs="Arial"/>
          <w:b/>
          <w:sz w:val="20"/>
          <w:szCs w:val="20"/>
        </w:rPr>
      </w:pPr>
    </w:p>
    <w:p w14:paraId="5BF2B01B" w14:textId="77777777" w:rsidR="006150DE" w:rsidRDefault="006150DE" w:rsidP="00F03D74">
      <w:pPr>
        <w:spacing w:line="360" w:lineRule="auto"/>
        <w:rPr>
          <w:rFonts w:ascii="Arial" w:eastAsia="Arial" w:hAnsi="Arial" w:cs="Arial"/>
          <w:b/>
          <w:sz w:val="20"/>
          <w:szCs w:val="20"/>
        </w:rPr>
      </w:pPr>
    </w:p>
    <w:p w14:paraId="4DD38F04" w14:textId="085AD6DA" w:rsidR="00F03D74" w:rsidRPr="00613DE5" w:rsidRDefault="00F03D74" w:rsidP="00F03D74">
      <w:pPr>
        <w:spacing w:line="360" w:lineRule="auto"/>
        <w:rPr>
          <w:rFonts w:ascii="Arial" w:eastAsia="Arial" w:hAnsi="Arial" w:cs="Arial"/>
          <w:b/>
          <w:bCs/>
          <w:sz w:val="20"/>
          <w:szCs w:val="20"/>
        </w:rPr>
      </w:pPr>
      <w:r w:rsidRPr="00613DE5">
        <w:rPr>
          <w:rFonts w:ascii="Arial" w:eastAsia="Arial" w:hAnsi="Arial" w:cs="Arial"/>
          <w:b/>
          <w:sz w:val="20"/>
          <w:szCs w:val="20"/>
        </w:rPr>
        <w:lastRenderedPageBreak/>
        <w:t>Årlige afskrivninger per anlægskategori (prognose efter 1. kvartal 2025)</w:t>
      </w:r>
      <w:r w:rsidRPr="00613DE5">
        <w:rPr>
          <w:rFonts w:ascii="Arial" w:eastAsia="Arial" w:hAnsi="Arial" w:cs="Arial"/>
          <w:b/>
          <w:bCs/>
          <w:sz w:val="20"/>
          <w:szCs w:val="20"/>
        </w:rPr>
        <w:t>:</w:t>
      </w:r>
    </w:p>
    <w:p w14:paraId="48227A4C" w14:textId="77777777" w:rsidR="00F03D74" w:rsidRPr="000B3CED" w:rsidRDefault="00F03D74" w:rsidP="00F03D74">
      <w:pPr>
        <w:spacing w:line="360" w:lineRule="auto"/>
        <w:rPr>
          <w:rFonts w:ascii="Arial" w:eastAsia="Arial" w:hAnsi="Arial" w:cs="Arial"/>
          <w:highlight w:val="yellow"/>
        </w:rPr>
      </w:pPr>
      <w:r w:rsidRPr="00C76725">
        <w:rPr>
          <w:rFonts w:ascii="Arial" w:eastAsia="Arial" w:hAnsi="Arial" w:cs="Arial"/>
          <w:noProof/>
        </w:rPr>
        <w:drawing>
          <wp:inline distT="0" distB="0" distL="0" distR="0" wp14:anchorId="66C64765" wp14:editId="5FADD790">
            <wp:extent cx="5144218" cy="3229426"/>
            <wp:effectExtent l="0" t="0" r="0" b="9525"/>
            <wp:docPr id="303376219" name="Picture 1" descr="A pie chart with different colored sect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76219" name="Picture 1" descr="A pie chart with different colored sections&#10;&#10;AI-generated content may be incorrect."/>
                    <pic:cNvPicPr/>
                  </pic:nvPicPr>
                  <pic:blipFill>
                    <a:blip r:embed="rId9"/>
                    <a:stretch>
                      <a:fillRect/>
                    </a:stretch>
                  </pic:blipFill>
                  <pic:spPr>
                    <a:xfrm>
                      <a:off x="0" y="0"/>
                      <a:ext cx="5144218" cy="3229426"/>
                    </a:xfrm>
                    <a:prstGeom prst="rect">
                      <a:avLst/>
                    </a:prstGeom>
                  </pic:spPr>
                </pic:pic>
              </a:graphicData>
            </a:graphic>
          </wp:inline>
        </w:drawing>
      </w:r>
    </w:p>
    <w:p w14:paraId="6DBA9A63" w14:textId="77777777" w:rsidR="00F03D74" w:rsidRPr="00032460" w:rsidRDefault="00F03D74" w:rsidP="00F03D74">
      <w:pPr>
        <w:spacing w:line="360" w:lineRule="auto"/>
        <w:rPr>
          <w:rFonts w:ascii="Arial" w:eastAsia="Arial" w:hAnsi="Arial" w:cs="Arial"/>
          <w:i/>
        </w:rPr>
      </w:pPr>
    </w:p>
    <w:p w14:paraId="66391FF3" w14:textId="77777777" w:rsidR="006150DE" w:rsidRPr="006150DE" w:rsidRDefault="00613DE5" w:rsidP="006150DE">
      <w:pPr>
        <w:spacing w:after="0" w:line="360" w:lineRule="auto"/>
        <w:jc w:val="both"/>
        <w:rPr>
          <w:rFonts w:ascii="Arial" w:eastAsia="Arial" w:hAnsi="Arial" w:cs="Arial"/>
          <w:i/>
          <w:sz w:val="20"/>
          <w:szCs w:val="20"/>
        </w:rPr>
      </w:pPr>
      <w:r w:rsidRPr="006150DE">
        <w:rPr>
          <w:rFonts w:ascii="Arial" w:eastAsia="Arial" w:hAnsi="Arial" w:cs="Arial"/>
          <w:i/>
          <w:sz w:val="20"/>
          <w:szCs w:val="20"/>
        </w:rPr>
        <w:t xml:space="preserve">Finansielle nettoomkostninger </w:t>
      </w:r>
    </w:p>
    <w:p w14:paraId="2AC1AD92" w14:textId="388BA8E9" w:rsidR="00F03D74" w:rsidRPr="00873C45" w:rsidRDefault="00F03D74" w:rsidP="006150DE">
      <w:pPr>
        <w:spacing w:after="0" w:line="360" w:lineRule="auto"/>
        <w:jc w:val="both"/>
        <w:rPr>
          <w:rFonts w:ascii="Arial" w:eastAsia="Arial" w:hAnsi="Arial" w:cs="Arial"/>
          <w:sz w:val="20"/>
          <w:szCs w:val="20"/>
        </w:rPr>
      </w:pPr>
      <w:r w:rsidRPr="006150DE">
        <w:rPr>
          <w:rFonts w:ascii="Arial" w:eastAsia="Arial" w:hAnsi="Arial" w:cs="Arial"/>
          <w:iCs/>
          <w:sz w:val="20"/>
          <w:szCs w:val="20"/>
        </w:rPr>
        <w:t>Finansielle nettoomkostninger</w:t>
      </w:r>
      <w:r w:rsidRPr="00873C45">
        <w:rPr>
          <w:rFonts w:ascii="Arial" w:eastAsia="Arial" w:hAnsi="Arial" w:cs="Arial"/>
          <w:i/>
          <w:sz w:val="20"/>
          <w:szCs w:val="20"/>
        </w:rPr>
        <w:t xml:space="preserve"> </w:t>
      </w:r>
      <w:r w:rsidRPr="00873C45">
        <w:rPr>
          <w:rFonts w:ascii="Arial" w:eastAsia="Arial" w:hAnsi="Arial" w:cs="Arial"/>
          <w:sz w:val="20"/>
          <w:szCs w:val="20"/>
        </w:rPr>
        <w:t>efter 1. kvartal udgør 36,0 mio. kr., hvilket stort set er lig budgettet. Der er et negativt afkast på værdipapirer, og modsatrettet har en højere likviditet givet højere renteindtægter. For hele året forventes de totale nettoomkostninger at være 145,4 mio. kr., hvilket er 9,6 mio. kr. lavere end budgettet på 155,0 mio. kr. og skyldes primært udskudt lånoptagelse fra 2025 til 2026, højere likviditet og den dertilhørende højere renteindtægt og modsatrettet lavere afkast på værdipapirer.</w:t>
      </w:r>
    </w:p>
    <w:p w14:paraId="3EE2E530" w14:textId="77777777" w:rsidR="006150DE" w:rsidRDefault="006150DE" w:rsidP="006150DE">
      <w:pPr>
        <w:spacing w:after="0" w:line="360" w:lineRule="auto"/>
        <w:jc w:val="both"/>
        <w:rPr>
          <w:rFonts w:ascii="Arial" w:eastAsia="Arial" w:hAnsi="Arial" w:cs="Arial"/>
          <w:b/>
          <w:sz w:val="20"/>
          <w:szCs w:val="20"/>
        </w:rPr>
      </w:pPr>
    </w:p>
    <w:p w14:paraId="40571463" w14:textId="25B22930" w:rsidR="006150DE" w:rsidRDefault="00F03D74" w:rsidP="006150DE">
      <w:pPr>
        <w:spacing w:after="0" w:line="360" w:lineRule="auto"/>
        <w:jc w:val="both"/>
        <w:rPr>
          <w:rFonts w:ascii="Arial" w:eastAsia="Arial" w:hAnsi="Arial" w:cs="Arial"/>
          <w:b/>
          <w:sz w:val="20"/>
          <w:szCs w:val="20"/>
        </w:rPr>
      </w:pPr>
      <w:r w:rsidRPr="00873C45">
        <w:rPr>
          <w:rFonts w:ascii="Arial" w:eastAsia="Arial" w:hAnsi="Arial" w:cs="Arial"/>
          <w:b/>
          <w:sz w:val="20"/>
          <w:szCs w:val="20"/>
        </w:rPr>
        <w:t>Likviditet og værdipapirer</w:t>
      </w:r>
    </w:p>
    <w:p w14:paraId="3C329E73" w14:textId="67B5E5DD" w:rsidR="00F03D74" w:rsidRPr="00613DE5" w:rsidRDefault="00F03D74" w:rsidP="006150DE">
      <w:pPr>
        <w:spacing w:after="0" w:line="360" w:lineRule="auto"/>
        <w:jc w:val="both"/>
        <w:rPr>
          <w:sz w:val="20"/>
          <w:szCs w:val="20"/>
        </w:rPr>
      </w:pPr>
      <w:r w:rsidRPr="00873C45">
        <w:rPr>
          <w:rFonts w:ascii="Arial" w:eastAsia="Arial" w:hAnsi="Arial" w:cs="Arial"/>
          <w:sz w:val="20"/>
          <w:szCs w:val="20"/>
        </w:rPr>
        <w:t>Likvide beholdninger (ekskl. værdipapirer) udgør efter 1. kvartal 859,9 mio. kr., hvilket er 279,7 mio. kr. lavere end per 31. december 2024. Dette skyldes primært forskydning af midler til igangværende tilskudsaktiviteter og anlægsinvesteringer samt tilbagebetaling i forbindelse med ikke budgetterede udbetalinger vedrørende partnerprojekter og modsatrettet færre tilgodehavender fra salg. Beholdningen af værdipapirer er 253,8 mio. kr., hvilket er 3,6 mio. kr. lavere end beholdningen per 31. december 2024, og skyldes et negativt afkast i 1. kvartal samt en større kontantbeholdning på depoterne. Likvider er indeståender i danske SIFI-banker, og værdipapirer er håndteret af 3 kapitalforvaltere.</w:t>
      </w:r>
    </w:p>
    <w:p w14:paraId="45AA870D" w14:textId="77777777" w:rsidR="006150DE" w:rsidRDefault="006150DE" w:rsidP="006150DE">
      <w:pPr>
        <w:spacing w:after="0" w:line="360" w:lineRule="auto"/>
        <w:jc w:val="both"/>
        <w:rPr>
          <w:rFonts w:ascii="Arial" w:eastAsia="Arial" w:hAnsi="Arial" w:cs="Arial"/>
          <w:color w:val="000000" w:themeColor="text1"/>
          <w:sz w:val="20"/>
          <w:szCs w:val="20"/>
        </w:rPr>
      </w:pPr>
    </w:p>
    <w:p w14:paraId="7CF58474" w14:textId="52BA06FA" w:rsidR="00F03D74" w:rsidRPr="00873C45" w:rsidRDefault="00F03D74" w:rsidP="006150DE">
      <w:pPr>
        <w:spacing w:after="0" w:line="360" w:lineRule="auto"/>
        <w:jc w:val="both"/>
        <w:rPr>
          <w:rFonts w:ascii="Arial" w:eastAsia="Arial" w:hAnsi="Arial" w:cs="Arial"/>
          <w:color w:val="000000" w:themeColor="text1"/>
          <w:sz w:val="20"/>
          <w:szCs w:val="20"/>
        </w:rPr>
      </w:pPr>
      <w:r w:rsidRPr="00873C45">
        <w:rPr>
          <w:rFonts w:ascii="Arial" w:eastAsia="Arial" w:hAnsi="Arial" w:cs="Arial"/>
          <w:color w:val="000000" w:themeColor="text1"/>
          <w:sz w:val="20"/>
          <w:szCs w:val="20"/>
        </w:rPr>
        <w:t>DTU har i tillæg mulighed for at trække på en kassekredit på op til 100 mio. kr., hvorfor det totale likviditetsberedskab pr. 31. marts 2025 udgjorde 1.213,7 mio. kr.</w:t>
      </w:r>
    </w:p>
    <w:p w14:paraId="28AB67CE" w14:textId="77777777" w:rsidR="006150DE" w:rsidRDefault="006150DE" w:rsidP="006150DE">
      <w:pPr>
        <w:spacing w:after="0" w:line="360" w:lineRule="auto"/>
        <w:jc w:val="both"/>
        <w:rPr>
          <w:rFonts w:ascii="Arial" w:eastAsia="Arial" w:hAnsi="Arial" w:cs="Arial"/>
          <w:sz w:val="20"/>
          <w:szCs w:val="20"/>
        </w:rPr>
      </w:pPr>
    </w:p>
    <w:p w14:paraId="71E75ECF" w14:textId="217F389B" w:rsidR="00F03D74" w:rsidRPr="00873C45" w:rsidRDefault="00F03D74" w:rsidP="006150DE">
      <w:pPr>
        <w:spacing w:after="0" w:line="360" w:lineRule="auto"/>
        <w:jc w:val="both"/>
        <w:rPr>
          <w:rFonts w:ascii="Arial" w:eastAsia="Arial" w:hAnsi="Arial" w:cs="Arial"/>
          <w:color w:val="000000" w:themeColor="text1"/>
          <w:sz w:val="20"/>
          <w:szCs w:val="20"/>
          <w:highlight w:val="yellow"/>
        </w:rPr>
      </w:pPr>
      <w:r w:rsidRPr="00873C45">
        <w:rPr>
          <w:rFonts w:ascii="Arial" w:eastAsia="Arial" w:hAnsi="Arial" w:cs="Arial"/>
          <w:sz w:val="20"/>
          <w:szCs w:val="20"/>
        </w:rPr>
        <w:t xml:space="preserve">Ultimo året forventes de likvide beholdninger (inkl. værdipapirer) at ligge på 891,6 mio. kr., hvilket er 119,8 mio. kr. lavere end budgettet på 1.041,4 mio. kr.  Dette skyldes, at den budgetterede optagelse af nyt realkreditlån er udskudt fra 2025 til senere som følge af højere primo likviditet end budgetteret </w:t>
      </w:r>
      <w:r w:rsidRPr="00873C45">
        <w:rPr>
          <w:rFonts w:ascii="Arial" w:eastAsia="Arial" w:hAnsi="Arial" w:cs="Arial"/>
          <w:sz w:val="20"/>
          <w:szCs w:val="20"/>
        </w:rPr>
        <w:lastRenderedPageBreak/>
        <w:t>samt forventning om positiv likviditetspåvirkning fra driftsaktiviteten og forventet lavere anlægsinvesteringer end budgetteret. Af de forventede likvide midler ultimo året skønnes partnermidler at udgøre 300 mio. kr. I forhold til det likvide beredskab udgør de månedlige lønudbetalinger ca. 330 mio. kr.</w:t>
      </w:r>
    </w:p>
    <w:p w14:paraId="0B741B17" w14:textId="77777777" w:rsidR="006150DE" w:rsidRDefault="006150DE" w:rsidP="006150DE">
      <w:pPr>
        <w:spacing w:after="0" w:line="360" w:lineRule="auto"/>
        <w:jc w:val="both"/>
        <w:rPr>
          <w:rFonts w:ascii="Arial" w:eastAsia="Arial" w:hAnsi="Arial" w:cs="Arial"/>
          <w:color w:val="000000" w:themeColor="text1"/>
          <w:sz w:val="20"/>
          <w:szCs w:val="20"/>
        </w:rPr>
      </w:pPr>
    </w:p>
    <w:p w14:paraId="542D1107" w14:textId="7E227875" w:rsidR="00F03D74" w:rsidRPr="00873C45" w:rsidRDefault="00F03D74" w:rsidP="006150DE">
      <w:pPr>
        <w:spacing w:after="0" w:line="360" w:lineRule="auto"/>
        <w:jc w:val="both"/>
        <w:rPr>
          <w:rFonts w:ascii="Arial" w:eastAsia="Arial" w:hAnsi="Arial" w:cs="Arial"/>
          <w:color w:val="000000" w:themeColor="text1"/>
          <w:sz w:val="20"/>
          <w:szCs w:val="20"/>
        </w:rPr>
      </w:pPr>
      <w:r w:rsidRPr="00873C45">
        <w:rPr>
          <w:rFonts w:ascii="Arial" w:eastAsia="Arial" w:hAnsi="Arial" w:cs="Arial"/>
          <w:color w:val="000000" w:themeColor="text1"/>
          <w:sz w:val="20"/>
          <w:szCs w:val="20"/>
        </w:rPr>
        <w:t>Markedsværdien af de finansielle instrumenter er steget siden udgangen af 2024. Den samlede markedsværdi af de finansielle instrumenter efter 1. kvartal udgør 284,8 mio. kr. i DTU’s favør. Markedsværdien var 31. december 2024 på 197,1 mio. kr. De positive værdier er indregnet som tilgodehavende i balancen, og modposten er på egenkapitalen. Den 31. december 2025 forudsættes den positive nettoværdi ligeledes at udgøre 284,8 mio. kr. lig med værdien per 31. marts 2025.</w:t>
      </w:r>
    </w:p>
    <w:p w14:paraId="2111BD0C" w14:textId="77777777" w:rsidR="006150DE" w:rsidRDefault="006150DE" w:rsidP="006150DE">
      <w:pPr>
        <w:spacing w:after="0" w:line="360" w:lineRule="auto"/>
        <w:jc w:val="both"/>
        <w:rPr>
          <w:rFonts w:ascii="Arial" w:eastAsia="Arial" w:hAnsi="Arial" w:cs="Arial"/>
          <w:sz w:val="20"/>
          <w:szCs w:val="20"/>
        </w:rPr>
      </w:pPr>
    </w:p>
    <w:p w14:paraId="5FF30DB0" w14:textId="7657CAF3" w:rsidR="00F03D74" w:rsidRPr="00873C45" w:rsidRDefault="00F03D74" w:rsidP="006150DE">
      <w:pPr>
        <w:spacing w:after="0" w:line="360" w:lineRule="auto"/>
        <w:jc w:val="both"/>
        <w:rPr>
          <w:rFonts w:ascii="Arial" w:eastAsia="Arial" w:hAnsi="Arial" w:cs="Arial"/>
          <w:sz w:val="20"/>
          <w:szCs w:val="20"/>
        </w:rPr>
      </w:pPr>
      <w:r w:rsidRPr="00873C45">
        <w:rPr>
          <w:rFonts w:ascii="Arial" w:eastAsia="Arial" w:hAnsi="Arial" w:cs="Arial"/>
          <w:sz w:val="20"/>
          <w:szCs w:val="20"/>
        </w:rPr>
        <w:t>Anlægsinvesteringer (inklusive donationer) udgør efter 1. kvartal 144,1 mio. kr. mod et budget på 268,1 mio. kr. For hele året forventes anlægsinvesteringer (inklusive donationer) at udgøre 963,0 mio. kr. mod 1.072,4 mio. kr. i budgettet, hvilket er baseret på enhedernes forventninger til aktiviteten. Det forventede fald skyldes overvejende forskydninger i Investerings- og Moderniseringsplanen.</w:t>
      </w:r>
    </w:p>
    <w:p w14:paraId="3191D630" w14:textId="77777777" w:rsidR="006150DE" w:rsidRDefault="006150DE" w:rsidP="006150DE">
      <w:pPr>
        <w:spacing w:after="0" w:line="360" w:lineRule="auto"/>
        <w:jc w:val="both"/>
        <w:rPr>
          <w:rFonts w:ascii="Arial" w:eastAsia="Arial" w:hAnsi="Arial" w:cs="Arial"/>
          <w:b/>
          <w:sz w:val="20"/>
          <w:szCs w:val="20"/>
        </w:rPr>
      </w:pPr>
    </w:p>
    <w:p w14:paraId="4434AF21" w14:textId="003FFB21" w:rsidR="00F03D74" w:rsidRPr="00613DE5" w:rsidRDefault="00F03D74" w:rsidP="006150DE">
      <w:pPr>
        <w:spacing w:after="0" w:line="360" w:lineRule="auto"/>
        <w:jc w:val="both"/>
        <w:rPr>
          <w:rFonts w:ascii="Arial" w:hAnsi="Arial" w:cs="Arial"/>
          <w:b/>
          <w:bCs/>
          <w:sz w:val="20"/>
          <w:szCs w:val="20"/>
        </w:rPr>
      </w:pPr>
      <w:r w:rsidRPr="00873C45">
        <w:rPr>
          <w:rFonts w:ascii="Arial" w:eastAsia="Arial" w:hAnsi="Arial" w:cs="Arial"/>
          <w:b/>
          <w:sz w:val="20"/>
          <w:szCs w:val="20"/>
        </w:rPr>
        <w:t>Dattervirksomh</w:t>
      </w:r>
      <w:r w:rsidRPr="00873C45">
        <w:rPr>
          <w:rFonts w:ascii="Arial" w:eastAsia="Arial" w:hAnsi="Arial" w:cs="Arial"/>
          <w:b/>
          <w:bCs/>
          <w:sz w:val="20"/>
          <w:szCs w:val="20"/>
        </w:rPr>
        <w:t>eder</w:t>
      </w:r>
      <w:r w:rsidR="00613DE5">
        <w:rPr>
          <w:rFonts w:ascii="Arial" w:hAnsi="Arial" w:cs="Arial"/>
          <w:b/>
          <w:bCs/>
          <w:sz w:val="20"/>
          <w:szCs w:val="20"/>
        </w:rPr>
        <w:br/>
      </w:r>
      <w:r w:rsidRPr="00873C45">
        <w:rPr>
          <w:rFonts w:ascii="Arial" w:eastAsia="Arial" w:hAnsi="Arial" w:cs="Arial"/>
          <w:sz w:val="20"/>
          <w:szCs w:val="20"/>
        </w:rPr>
        <w:t xml:space="preserve">DTU Science Park A/S har efter 1. kvartal realiseret et resultat på 14,4 mio. kr., hvilket er 2,5 mio. kr. højere end budgettet på 11,9 mio. kr. som følge af periodisering af indtægter og omkostninger. For året forventes et resultat efter skat på 50,3 mio. kr., hvilket er lig budgettet. </w:t>
      </w:r>
    </w:p>
    <w:p w14:paraId="04816959" w14:textId="77777777" w:rsidR="006150DE" w:rsidRDefault="006150DE" w:rsidP="006150DE">
      <w:pPr>
        <w:spacing w:after="0" w:line="360" w:lineRule="auto"/>
        <w:jc w:val="both"/>
        <w:rPr>
          <w:rFonts w:ascii="Arial" w:eastAsia="Arial" w:hAnsi="Arial" w:cs="Arial"/>
          <w:sz w:val="20"/>
          <w:szCs w:val="20"/>
        </w:rPr>
      </w:pPr>
    </w:p>
    <w:p w14:paraId="342F5D1B" w14:textId="3C1B75C2" w:rsidR="00F03D74" w:rsidRPr="00873C45" w:rsidRDefault="00F03D74" w:rsidP="006150DE">
      <w:pPr>
        <w:spacing w:after="0" w:line="360" w:lineRule="auto"/>
        <w:jc w:val="both"/>
        <w:rPr>
          <w:rFonts w:ascii="Arial" w:eastAsia="Arial" w:hAnsi="Arial" w:cs="Arial"/>
          <w:sz w:val="20"/>
          <w:szCs w:val="20"/>
        </w:rPr>
      </w:pPr>
      <w:r w:rsidRPr="00873C45">
        <w:rPr>
          <w:rFonts w:ascii="Arial" w:eastAsia="Arial" w:hAnsi="Arial" w:cs="Arial"/>
          <w:sz w:val="20"/>
          <w:szCs w:val="20"/>
        </w:rPr>
        <w:t>Bioneer A/S har efter 1. kvartal realiseret et overskud på 2,3 mio. kr., hvilket er 12,7 mio. kr. højere end det budgetterede underskud på 10,4 mio. kr. Salget i kontraktproduktion er højere end budgettet, mens salget i kontraktforskning er lavere. Der forventes uændret for året et underskud på 49,4 mio. kr., som vil blive revurderet efter 2. kvartal.</w:t>
      </w:r>
    </w:p>
    <w:p w14:paraId="2B4CCB2E" w14:textId="77777777" w:rsidR="006150DE" w:rsidRDefault="006150DE" w:rsidP="006150DE">
      <w:pPr>
        <w:spacing w:after="0" w:line="360" w:lineRule="auto"/>
        <w:jc w:val="both"/>
        <w:rPr>
          <w:rFonts w:ascii="Arial" w:eastAsia="Arial" w:hAnsi="Arial" w:cs="Arial"/>
          <w:sz w:val="20"/>
          <w:szCs w:val="20"/>
        </w:rPr>
      </w:pPr>
    </w:p>
    <w:p w14:paraId="18139FAA" w14:textId="42D2C7EE" w:rsidR="00F03D74" w:rsidRPr="00873C45" w:rsidRDefault="00F03D74" w:rsidP="006150DE">
      <w:pPr>
        <w:spacing w:after="0" w:line="360" w:lineRule="auto"/>
        <w:jc w:val="both"/>
        <w:rPr>
          <w:rFonts w:ascii="Arial" w:eastAsia="Arial" w:hAnsi="Arial" w:cs="Arial"/>
          <w:sz w:val="20"/>
          <w:szCs w:val="20"/>
        </w:rPr>
      </w:pPr>
      <w:r w:rsidRPr="00873C45">
        <w:rPr>
          <w:rFonts w:ascii="Arial" w:eastAsia="Arial" w:hAnsi="Arial" w:cs="Arial"/>
          <w:sz w:val="20"/>
          <w:szCs w:val="20"/>
        </w:rPr>
        <w:t>Pre-Seed Ventures A/S har efter 1. kvartal realiseret et underskud på 5,5 mio. kr., hvilket er 0,5 mio. kr. lavere end det budgetterede underskud på 5,0 mio. kr. Pre-Seed Ventures A/S forventer for året et underskud på 18,2 mio. kr., hvilket er lig budgettet.</w:t>
      </w:r>
    </w:p>
    <w:p w14:paraId="3D034244" w14:textId="77777777" w:rsidR="006150DE" w:rsidRDefault="006150DE" w:rsidP="006150DE">
      <w:pPr>
        <w:spacing w:after="0" w:line="360" w:lineRule="auto"/>
        <w:jc w:val="both"/>
        <w:rPr>
          <w:rFonts w:ascii="Arial" w:eastAsia="Arial" w:hAnsi="Arial" w:cs="Arial"/>
          <w:sz w:val="20"/>
          <w:szCs w:val="20"/>
        </w:rPr>
      </w:pPr>
    </w:p>
    <w:p w14:paraId="43E101D7" w14:textId="73B334F3" w:rsidR="00F03D74" w:rsidRPr="00873C45" w:rsidRDefault="00F03D74" w:rsidP="006150DE">
      <w:pPr>
        <w:spacing w:after="0" w:line="360" w:lineRule="auto"/>
        <w:jc w:val="both"/>
        <w:rPr>
          <w:rFonts w:ascii="Arial" w:eastAsia="Arial" w:hAnsi="Arial" w:cs="Arial"/>
          <w:sz w:val="20"/>
          <w:szCs w:val="20"/>
        </w:rPr>
      </w:pPr>
      <w:r w:rsidRPr="00873C45">
        <w:rPr>
          <w:rFonts w:ascii="Arial" w:eastAsia="Arial" w:hAnsi="Arial" w:cs="Arial"/>
          <w:sz w:val="20"/>
          <w:szCs w:val="20"/>
        </w:rPr>
        <w:t>DFM A/S har efter 1. kvartal realiseret et resultat på 0,9 mio. kr., hvilket er 0,4 mio. kr. højere end budget. Forbedringen skyldes øget salg af kalibreringer. DFM A/S forventer for året et resultat på 2,2 mio. kr., hvilket er lig budgettet.</w:t>
      </w:r>
    </w:p>
    <w:p w14:paraId="6C4D8E44" w14:textId="77777777" w:rsidR="006150DE" w:rsidRDefault="006150DE" w:rsidP="006150DE">
      <w:pPr>
        <w:spacing w:after="0" w:line="360" w:lineRule="auto"/>
        <w:jc w:val="both"/>
        <w:rPr>
          <w:rFonts w:ascii="Arial" w:eastAsia="Arial" w:hAnsi="Arial" w:cs="Arial"/>
          <w:sz w:val="20"/>
          <w:szCs w:val="20"/>
        </w:rPr>
      </w:pPr>
    </w:p>
    <w:p w14:paraId="2A108114" w14:textId="41120B70" w:rsidR="00F03D74" w:rsidRPr="00873C45" w:rsidRDefault="00F03D74" w:rsidP="006150DE">
      <w:pPr>
        <w:spacing w:after="0" w:line="360" w:lineRule="auto"/>
        <w:jc w:val="both"/>
        <w:rPr>
          <w:rFonts w:ascii="Arial" w:eastAsia="Arial" w:hAnsi="Arial" w:cs="Arial"/>
          <w:sz w:val="20"/>
          <w:szCs w:val="20"/>
        </w:rPr>
      </w:pPr>
      <w:r w:rsidRPr="00873C45">
        <w:rPr>
          <w:rFonts w:ascii="Arial" w:eastAsia="Arial" w:hAnsi="Arial" w:cs="Arial"/>
          <w:sz w:val="20"/>
          <w:szCs w:val="20"/>
        </w:rPr>
        <w:t>Dianova A/S er et hvilende selskab og havde efter 1. kvartal realiseret et underskud 0,1 mio. kr. Der forventes et underskud for hele året 2025 på 0,1 mio. kr. som følge af udviklingen på aktiemarkedet.</w:t>
      </w:r>
    </w:p>
    <w:p w14:paraId="46D0DEDA" w14:textId="77777777" w:rsidR="001672F4" w:rsidRDefault="001672F4"/>
    <w:sectPr w:rsidR="001672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3F61"/>
    <w:multiLevelType w:val="hybridMultilevel"/>
    <w:tmpl w:val="D9E6C5D6"/>
    <w:lvl w:ilvl="0" w:tplc="9A5890F6">
      <w:start w:val="874"/>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89394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D74"/>
    <w:rsid w:val="001672F4"/>
    <w:rsid w:val="00544E15"/>
    <w:rsid w:val="00613DE5"/>
    <w:rsid w:val="006150DE"/>
    <w:rsid w:val="007B1635"/>
    <w:rsid w:val="00873C45"/>
    <w:rsid w:val="00BA5E9C"/>
    <w:rsid w:val="00C617BB"/>
    <w:rsid w:val="00DF2393"/>
    <w:rsid w:val="00EE60F2"/>
    <w:rsid w:val="00F03D74"/>
    <w:rsid w:val="00F066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0093"/>
  <w15:chartTrackingRefBased/>
  <w15:docId w15:val="{CE75279D-D1DB-4076-ACEF-4A908CE0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D74"/>
    <w:pPr>
      <w:spacing w:line="259" w:lineRule="auto"/>
    </w:pPr>
    <w:rPr>
      <w:sz w:val="22"/>
      <w:szCs w:val="22"/>
    </w:rPr>
  </w:style>
  <w:style w:type="paragraph" w:styleId="Heading1">
    <w:name w:val="heading 1"/>
    <w:basedOn w:val="Normal"/>
    <w:next w:val="Normal"/>
    <w:link w:val="Heading1Char"/>
    <w:uiPriority w:val="9"/>
    <w:qFormat/>
    <w:rsid w:val="00F03D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D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D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D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D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D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D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D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D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D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D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D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D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D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D74"/>
    <w:rPr>
      <w:rFonts w:eastAsiaTheme="majorEastAsia" w:cstheme="majorBidi"/>
      <w:color w:val="272727" w:themeColor="text1" w:themeTint="D8"/>
    </w:rPr>
  </w:style>
  <w:style w:type="paragraph" w:styleId="Title">
    <w:name w:val="Title"/>
    <w:basedOn w:val="Normal"/>
    <w:next w:val="Normal"/>
    <w:link w:val="TitleChar"/>
    <w:uiPriority w:val="10"/>
    <w:qFormat/>
    <w:rsid w:val="00F03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D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D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D74"/>
    <w:pPr>
      <w:spacing w:before="160"/>
      <w:jc w:val="center"/>
    </w:pPr>
    <w:rPr>
      <w:i/>
      <w:iCs/>
      <w:color w:val="404040" w:themeColor="text1" w:themeTint="BF"/>
    </w:rPr>
  </w:style>
  <w:style w:type="character" w:customStyle="1" w:styleId="QuoteChar">
    <w:name w:val="Quote Char"/>
    <w:basedOn w:val="DefaultParagraphFont"/>
    <w:link w:val="Quote"/>
    <w:uiPriority w:val="29"/>
    <w:rsid w:val="00F03D74"/>
    <w:rPr>
      <w:i/>
      <w:iCs/>
      <w:color w:val="404040" w:themeColor="text1" w:themeTint="BF"/>
    </w:rPr>
  </w:style>
  <w:style w:type="paragraph" w:styleId="ListParagraph">
    <w:name w:val="List Paragraph"/>
    <w:basedOn w:val="Normal"/>
    <w:uiPriority w:val="34"/>
    <w:qFormat/>
    <w:rsid w:val="00F03D74"/>
    <w:pPr>
      <w:ind w:left="720"/>
      <w:contextualSpacing/>
    </w:pPr>
  </w:style>
  <w:style w:type="character" w:styleId="IntenseEmphasis">
    <w:name w:val="Intense Emphasis"/>
    <w:basedOn w:val="DefaultParagraphFont"/>
    <w:uiPriority w:val="21"/>
    <w:qFormat/>
    <w:rsid w:val="00F03D74"/>
    <w:rPr>
      <w:i/>
      <w:iCs/>
      <w:color w:val="0F4761" w:themeColor="accent1" w:themeShade="BF"/>
    </w:rPr>
  </w:style>
  <w:style w:type="paragraph" w:styleId="IntenseQuote">
    <w:name w:val="Intense Quote"/>
    <w:basedOn w:val="Normal"/>
    <w:next w:val="Normal"/>
    <w:link w:val="IntenseQuoteChar"/>
    <w:uiPriority w:val="30"/>
    <w:qFormat/>
    <w:rsid w:val="00F03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D74"/>
    <w:rPr>
      <w:i/>
      <w:iCs/>
      <w:color w:val="0F4761" w:themeColor="accent1" w:themeShade="BF"/>
    </w:rPr>
  </w:style>
  <w:style w:type="character" w:styleId="IntenseReference">
    <w:name w:val="Intense Reference"/>
    <w:basedOn w:val="DefaultParagraphFont"/>
    <w:uiPriority w:val="32"/>
    <w:qFormat/>
    <w:rsid w:val="00F03D74"/>
    <w:rPr>
      <w:b/>
      <w:bCs/>
      <w:smallCaps/>
      <w:color w:val="0F4761" w:themeColor="accent1" w:themeShade="BF"/>
      <w:spacing w:val="5"/>
    </w:rPr>
  </w:style>
  <w:style w:type="table" w:styleId="TableGrid">
    <w:name w:val="Table Grid"/>
    <w:basedOn w:val="TableNormal"/>
    <w:uiPriority w:val="59"/>
    <w:rsid w:val="00F03D74"/>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rsid w:val="00F03D74"/>
    <w:pPr>
      <w:spacing w:after="0" w:line="240" w:lineRule="auto"/>
    </w:pPr>
    <w:rPr>
      <w:sz w:val="22"/>
      <w:szCs w:val="22"/>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F03D74"/>
    <w:pPr>
      <w:spacing w:after="0" w:line="240" w:lineRule="auto"/>
    </w:pPr>
    <w:rPr>
      <w:sz w:val="22"/>
      <w:szCs w:val="22"/>
    </w:rPr>
  </w:style>
  <w:style w:type="character" w:styleId="CommentReference">
    <w:name w:val="annotation reference"/>
    <w:basedOn w:val="DefaultParagraphFont"/>
    <w:uiPriority w:val="99"/>
    <w:semiHidden/>
    <w:unhideWhenUsed/>
    <w:rsid w:val="00F03D74"/>
    <w:rPr>
      <w:sz w:val="16"/>
      <w:szCs w:val="16"/>
    </w:rPr>
  </w:style>
  <w:style w:type="paragraph" w:styleId="CommentText">
    <w:name w:val="annotation text"/>
    <w:basedOn w:val="Normal"/>
    <w:link w:val="CommentTextChar"/>
    <w:uiPriority w:val="99"/>
    <w:unhideWhenUsed/>
    <w:rsid w:val="00F03D74"/>
    <w:pPr>
      <w:spacing w:line="240" w:lineRule="auto"/>
    </w:pPr>
    <w:rPr>
      <w:sz w:val="20"/>
      <w:szCs w:val="20"/>
    </w:rPr>
  </w:style>
  <w:style w:type="character" w:customStyle="1" w:styleId="CommentTextChar">
    <w:name w:val="Comment Text Char"/>
    <w:basedOn w:val="DefaultParagraphFont"/>
    <w:link w:val="CommentText"/>
    <w:uiPriority w:val="99"/>
    <w:rsid w:val="00F03D74"/>
    <w:rPr>
      <w:sz w:val="20"/>
      <w:szCs w:val="20"/>
    </w:rPr>
  </w:style>
  <w:style w:type="paragraph" w:styleId="CommentSubject">
    <w:name w:val="annotation subject"/>
    <w:basedOn w:val="CommentText"/>
    <w:next w:val="CommentText"/>
    <w:link w:val="CommentSubjectChar"/>
    <w:uiPriority w:val="99"/>
    <w:semiHidden/>
    <w:unhideWhenUsed/>
    <w:rsid w:val="00F03D74"/>
    <w:rPr>
      <w:b/>
      <w:bCs/>
    </w:rPr>
  </w:style>
  <w:style w:type="character" w:customStyle="1" w:styleId="CommentSubjectChar">
    <w:name w:val="Comment Subject Char"/>
    <w:basedOn w:val="CommentTextChar"/>
    <w:link w:val="CommentSubject"/>
    <w:uiPriority w:val="99"/>
    <w:semiHidden/>
    <w:rsid w:val="00F03D74"/>
    <w:rPr>
      <w:b/>
      <w:bCs/>
      <w:sz w:val="20"/>
      <w:szCs w:val="20"/>
    </w:rPr>
  </w:style>
  <w:style w:type="table" w:styleId="PlainTable5">
    <w:name w:val="Plain Table 5"/>
    <w:basedOn w:val="TableNormal"/>
    <w:uiPriority w:val="45"/>
    <w:rsid w:val="00F03D74"/>
    <w:pPr>
      <w:spacing w:after="0" w:line="240" w:lineRule="auto"/>
    </w:pPr>
    <w:rPr>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F03D74"/>
    <w:pPr>
      <w:spacing w:after="0" w:line="240" w:lineRule="auto"/>
    </w:pPr>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F03D74"/>
    <w:rPr>
      <w:color w:val="467886" w:themeColor="hyperlink"/>
      <w:u w:val="single"/>
    </w:rPr>
  </w:style>
  <w:style w:type="character" w:styleId="UnresolvedMention">
    <w:name w:val="Unresolved Mention"/>
    <w:basedOn w:val="DefaultParagraphFont"/>
    <w:uiPriority w:val="99"/>
    <w:semiHidden/>
    <w:unhideWhenUsed/>
    <w:rsid w:val="00F03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43A80D540C2D4FBD41FFEFF3B94F54" ma:contentTypeVersion="2" ma:contentTypeDescription="Create a new document." ma:contentTypeScope="" ma:versionID="c14ecdc90a5fa3668047e5e7e7b21245">
  <xsd:schema xmlns:xsd="http://www.w3.org/2001/XMLSchema" xmlns:xs="http://www.w3.org/2001/XMLSchema" xmlns:p="http://schemas.microsoft.com/office/2006/metadata/properties" xmlns:ns2="3e14d131-cb70-4c9a-b97a-7ad83908d26d" targetNamespace="http://schemas.microsoft.com/office/2006/metadata/properties" ma:root="true" ma:fieldsID="0ef1f9227c91cf3194909d54e66b8c9b" ns2:_="">
    <xsd:import namespace="3e14d131-cb70-4c9a-b97a-7ad83908d26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4d131-cb70-4c9a-b97a-7ad83908d2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62FEF6-8400-431B-BC31-A01861D36033}">
  <ds:schemaRefs>
    <ds:schemaRef ds:uri="http://schemas.microsoft.com/office/infopath/2007/PartnerControls"/>
    <ds:schemaRef ds:uri="http://purl.org/dc/dcmitype/"/>
    <ds:schemaRef ds:uri="http://purl.org/dc/elements/1.1/"/>
    <ds:schemaRef ds:uri="http://schemas.microsoft.com/office/2006/documentManagement/types"/>
    <ds:schemaRef ds:uri="3e14d131-cb70-4c9a-b97a-7ad83908d26d"/>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CE3D4124-00C4-4AA8-9FF4-881592B53BA5}">
  <ds:schemaRefs>
    <ds:schemaRef ds:uri="http://schemas.microsoft.com/sharepoint/v3/contenttype/forms"/>
  </ds:schemaRefs>
</ds:datastoreItem>
</file>

<file path=customXml/itemProps3.xml><?xml version="1.0" encoding="utf-8"?>
<ds:datastoreItem xmlns:ds="http://schemas.openxmlformats.org/officeDocument/2006/customXml" ds:itemID="{0757F699-AA28-4E75-AC5F-952B12368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4d131-cb70-4c9a-b97a-7ad83908d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2214</Words>
  <Characters>13506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TECHNICAL UNIVERSITY OF DENMARK</Company>
  <LinksUpToDate>false</LinksUpToDate>
  <CharactersWithSpaces>15689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Jensen</dc:creator>
  <cp:keywords/>
  <dc:description/>
  <cp:lastModifiedBy>Kasper Dam Schultz</cp:lastModifiedBy>
  <cp:revision>5</cp:revision>
  <dcterms:created xsi:type="dcterms:W3CDTF">2025-05-15T13:12:00Z</dcterms:created>
  <dcterms:modified xsi:type="dcterms:W3CDTF">2025-05-21T13:53:00Z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0x0101003043A80D540C2D4FBD41FFEFF3B94F54</vt:lpwstr>
  </property>
</Properties>
</file>